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5794F">
      <w:pPr>
        <w:spacing w:line="360" w:lineRule="auto"/>
        <w:outlineLvl w:val="1"/>
        <w:rPr>
          <w:rFonts w:hint="eastAsia" w:ascii="宋体" w:hAnsi="宋体"/>
          <w:b/>
          <w:bCs/>
          <w:color w:val="auto"/>
          <w:sz w:val="28"/>
          <w:szCs w:val="36"/>
          <w:highlight w:val="none"/>
        </w:rPr>
      </w:pPr>
      <w:r>
        <w:rPr>
          <w:rFonts w:ascii="宋体" w:hAnsi="宋体"/>
          <w:b/>
          <w:bCs/>
          <w:color w:val="auto"/>
          <w:sz w:val="28"/>
          <w:szCs w:val="36"/>
          <w:highlight w:val="none"/>
        </w:rPr>
        <w:t>附件</w:t>
      </w:r>
      <w:r>
        <w:rPr>
          <w:rFonts w:hint="eastAsia" w:ascii="宋体" w:hAnsi="宋体"/>
          <w:b/>
          <w:bCs/>
          <w:color w:val="auto"/>
          <w:sz w:val="28"/>
          <w:szCs w:val="36"/>
          <w:highlight w:val="none"/>
        </w:rPr>
        <w:t>1</w:t>
      </w:r>
      <w:r>
        <w:rPr>
          <w:rFonts w:ascii="宋体" w:hAnsi="宋体"/>
          <w:b/>
          <w:bCs/>
          <w:color w:val="auto"/>
          <w:sz w:val="28"/>
          <w:szCs w:val="36"/>
          <w:highlight w:val="none"/>
        </w:rPr>
        <w:t xml:space="preserve">  资格</w:t>
      </w:r>
      <w:r>
        <w:rPr>
          <w:rFonts w:hint="eastAsia" w:ascii="宋体" w:hAnsi="宋体"/>
          <w:b/>
          <w:bCs/>
          <w:color w:val="auto"/>
          <w:sz w:val="28"/>
          <w:szCs w:val="36"/>
          <w:highlight w:val="none"/>
        </w:rPr>
        <w:t>审查条件</w:t>
      </w:r>
    </w:p>
    <w:p w14:paraId="3AF50C5E">
      <w:pPr>
        <w:spacing w:line="360" w:lineRule="auto"/>
        <w:jc w:val="center"/>
        <w:rPr>
          <w:rFonts w:ascii="宋体" w:hAnsi="宋体"/>
          <w:b/>
          <w:color w:val="auto"/>
          <w:sz w:val="24"/>
          <w:highlight w:val="none"/>
        </w:rPr>
      </w:pPr>
    </w:p>
    <w:p w14:paraId="2F65E1BD">
      <w:pPr>
        <w:spacing w:line="360" w:lineRule="auto"/>
        <w:jc w:val="center"/>
        <w:rPr>
          <w:rFonts w:hint="eastAsia"/>
          <w:color w:val="auto"/>
          <w:sz w:val="24"/>
          <w:highlight w:val="none"/>
        </w:rPr>
      </w:pPr>
      <w:r>
        <w:rPr>
          <w:rFonts w:hint="eastAsia" w:ascii="宋体" w:hAnsi="宋体" w:eastAsia="宋体"/>
          <w:b/>
          <w:color w:val="auto"/>
          <w:sz w:val="24"/>
          <w:highlight w:val="none"/>
        </w:rPr>
        <w:t>附录1  资格审查条件（资质最低条件）</w:t>
      </w:r>
    </w:p>
    <w:tbl>
      <w:tblPr>
        <w:tblStyle w:val="19"/>
        <w:tblW w:w="0" w:type="auto"/>
        <w:tblInd w:w="111"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14:paraId="72CE327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322" w:type="dxa"/>
            <w:tcBorders>
              <w:top w:val="single" w:color="auto" w:sz="2" w:space="0"/>
              <w:left w:val="single" w:color="auto" w:sz="2" w:space="0"/>
              <w:bottom w:val="single" w:color="auto" w:sz="6" w:space="0"/>
              <w:right w:val="single" w:color="auto" w:sz="2" w:space="0"/>
            </w:tcBorders>
            <w:noWrap w:val="0"/>
            <w:vAlign w:val="center"/>
          </w:tcPr>
          <w:p w14:paraId="26860632">
            <w:pPr>
              <w:spacing w:line="360" w:lineRule="auto"/>
              <w:jc w:val="center"/>
              <w:rPr>
                <w:rFonts w:ascii="宋体" w:hAnsi="宋体"/>
                <w:color w:val="auto"/>
                <w:sz w:val="24"/>
                <w:highlight w:val="none"/>
              </w:rPr>
            </w:pPr>
            <w:r>
              <w:rPr>
                <w:rFonts w:hint="eastAsia" w:ascii="宋体" w:hAnsi="宋体"/>
                <w:color w:val="auto"/>
                <w:sz w:val="24"/>
                <w:highlight w:val="none"/>
              </w:rPr>
              <w:t>资 质 要 求</w:t>
            </w:r>
          </w:p>
        </w:tc>
      </w:tr>
      <w:tr w14:paraId="7AF8F9F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9322" w:type="dxa"/>
            <w:tcBorders>
              <w:top w:val="single" w:color="auto" w:sz="2" w:space="0"/>
              <w:left w:val="single" w:color="auto" w:sz="2" w:space="0"/>
              <w:bottom w:val="single" w:color="auto" w:sz="2" w:space="0"/>
              <w:right w:val="single" w:color="auto" w:sz="2" w:space="0"/>
            </w:tcBorders>
            <w:noWrap w:val="0"/>
            <w:vAlign w:val="center"/>
          </w:tcPr>
          <w:p w14:paraId="74ED5482">
            <w:pPr>
              <w:spacing w:line="360" w:lineRule="auto"/>
              <w:jc w:val="center"/>
              <w:rPr>
                <w:rFonts w:ascii="宋体" w:hAnsi="宋体"/>
                <w:color w:val="auto"/>
                <w:sz w:val="24"/>
                <w:highlight w:val="none"/>
              </w:rPr>
            </w:pPr>
            <w:r>
              <w:rPr>
                <w:rFonts w:hint="eastAsia" w:ascii="宋体" w:hAnsi="宋体"/>
                <w:color w:val="auto"/>
                <w:sz w:val="24"/>
                <w:highlight w:val="none"/>
              </w:rPr>
              <w:t>具有独立企业法人资格，持有有效的企业</w:t>
            </w:r>
            <w:r>
              <w:rPr>
                <w:rFonts w:hint="eastAsia" w:ascii="宋体" w:hAnsi="宋体"/>
                <w:color w:val="auto"/>
                <w:sz w:val="24"/>
                <w:highlight w:val="none"/>
                <w:lang w:val="en-US" w:eastAsia="zh-CN"/>
              </w:rPr>
              <w:t>法人</w:t>
            </w:r>
            <w:r>
              <w:rPr>
                <w:rFonts w:hint="eastAsia" w:ascii="宋体" w:hAnsi="宋体"/>
                <w:color w:val="auto"/>
                <w:sz w:val="24"/>
                <w:highlight w:val="none"/>
              </w:rPr>
              <w:t>营业执照。</w:t>
            </w:r>
          </w:p>
        </w:tc>
      </w:tr>
    </w:tbl>
    <w:p w14:paraId="291EC4AE">
      <w:pPr>
        <w:spacing w:line="360" w:lineRule="auto"/>
        <w:jc w:val="center"/>
        <w:rPr>
          <w:rFonts w:ascii="宋体" w:hAnsi="宋体" w:eastAsia="宋体"/>
          <w:b/>
          <w:color w:val="auto"/>
          <w:highlight w:val="none"/>
        </w:rPr>
      </w:pPr>
    </w:p>
    <w:p w14:paraId="46AAE000">
      <w:pPr>
        <w:widowControl w:val="0"/>
        <w:spacing w:line="360" w:lineRule="auto"/>
        <w:ind w:firstLine="0" w:firstLineChars="0"/>
        <w:jc w:val="center"/>
        <w:rPr>
          <w:rFonts w:hint="eastAsia" w:ascii="宋体" w:hAnsi="宋体" w:eastAsia="宋体" w:cs="Times New Roman"/>
          <w:color w:val="auto"/>
          <w:kern w:val="2"/>
          <w:sz w:val="24"/>
          <w:szCs w:val="24"/>
          <w:highlight w:val="none"/>
          <w:lang w:val="en-US" w:eastAsia="zh-CN" w:bidi="ar-SA"/>
        </w:rPr>
      </w:pPr>
    </w:p>
    <w:p w14:paraId="463FDFD7">
      <w:pPr>
        <w:spacing w:line="360" w:lineRule="auto"/>
        <w:jc w:val="center"/>
        <w:rPr>
          <w:rFonts w:hint="eastAsia"/>
          <w:color w:val="auto"/>
          <w:sz w:val="24"/>
          <w:highlight w:val="none"/>
        </w:rPr>
      </w:pPr>
      <w:r>
        <w:rPr>
          <w:rFonts w:hint="eastAsia" w:ascii="宋体" w:hAnsi="宋体" w:eastAsia="宋体"/>
          <w:b/>
          <w:color w:val="auto"/>
          <w:sz w:val="24"/>
          <w:highlight w:val="none"/>
        </w:rPr>
        <w:t>附录</w:t>
      </w:r>
      <w:r>
        <w:rPr>
          <w:rFonts w:ascii="宋体" w:hAnsi="宋体" w:eastAsia="宋体"/>
          <w:b/>
          <w:color w:val="auto"/>
          <w:sz w:val="24"/>
          <w:highlight w:val="none"/>
        </w:rPr>
        <w:t xml:space="preserve">2 </w:t>
      </w:r>
      <w:r>
        <w:rPr>
          <w:rFonts w:hint="eastAsia" w:ascii="宋体" w:hAnsi="宋体" w:eastAsia="宋体"/>
          <w:b/>
          <w:color w:val="auto"/>
          <w:sz w:val="24"/>
          <w:highlight w:val="none"/>
        </w:rPr>
        <w:t xml:space="preserve"> 资格审查条件（</w:t>
      </w:r>
      <w:r>
        <w:rPr>
          <w:rFonts w:hint="eastAsia" w:ascii="宋体" w:hAnsi="宋体"/>
          <w:b/>
          <w:color w:val="auto"/>
          <w:sz w:val="24"/>
          <w:highlight w:val="none"/>
        </w:rPr>
        <w:t>业绩最低条件</w:t>
      </w:r>
      <w:r>
        <w:rPr>
          <w:rFonts w:hint="eastAsia" w:ascii="宋体" w:hAnsi="宋体" w:eastAsia="宋体"/>
          <w:b/>
          <w:color w:val="auto"/>
          <w:sz w:val="24"/>
          <w:highlight w:val="none"/>
        </w:rPr>
        <w:t>）</w:t>
      </w:r>
    </w:p>
    <w:tbl>
      <w:tblPr>
        <w:tblStyle w:val="19"/>
        <w:tblpPr w:leftFromText="180" w:rightFromText="180" w:vertAnchor="text" w:horzAnchor="margin" w:tblpXSpec="center" w:tblpY="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69EA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322" w:type="dxa"/>
            <w:noWrap w:val="0"/>
            <w:vAlign w:val="center"/>
          </w:tcPr>
          <w:p w14:paraId="28056B17">
            <w:pPr>
              <w:spacing w:line="360" w:lineRule="auto"/>
              <w:jc w:val="center"/>
              <w:rPr>
                <w:rFonts w:ascii="宋体" w:hAnsi="宋体"/>
                <w:color w:val="auto"/>
                <w:sz w:val="24"/>
                <w:highlight w:val="none"/>
              </w:rPr>
            </w:pPr>
            <w:r>
              <w:rPr>
                <w:rFonts w:hint="eastAsia" w:ascii="宋体" w:hAnsi="宋体"/>
                <w:color w:val="auto"/>
                <w:sz w:val="24"/>
                <w:highlight w:val="none"/>
              </w:rPr>
              <w:t>业绩要求</w:t>
            </w:r>
          </w:p>
        </w:tc>
      </w:tr>
      <w:tr w14:paraId="39B2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22" w:type="dxa"/>
            <w:noWrap w:val="0"/>
            <w:vAlign w:val="center"/>
          </w:tcPr>
          <w:p w14:paraId="6C053F19">
            <w:pPr>
              <w:widowControl/>
              <w:spacing w:line="360" w:lineRule="auto"/>
              <w:ind w:firstLine="480" w:firstLineChars="200"/>
              <w:jc w:val="left"/>
              <w:rPr>
                <w:rFonts w:hint="eastAsia" w:ascii="宋体" w:hAnsi="宋体"/>
                <w:color w:val="auto"/>
                <w:sz w:val="24"/>
                <w:highlight w:val="none"/>
              </w:rPr>
            </w:pPr>
            <w:r>
              <w:rPr>
                <w:rFonts w:ascii="宋体" w:hAnsi="宋体"/>
                <w:color w:val="auto"/>
                <w:sz w:val="24"/>
                <w:highlight w:val="none"/>
              </w:rPr>
              <w:t>近</w:t>
            </w:r>
            <w:r>
              <w:rPr>
                <w:rFonts w:hint="eastAsia" w:ascii="宋体" w:hAnsi="宋体"/>
                <w:color w:val="auto"/>
                <w:sz w:val="24"/>
                <w:highlight w:val="none"/>
              </w:rPr>
              <w:t>3</w:t>
            </w:r>
            <w:r>
              <w:rPr>
                <w:rFonts w:ascii="宋体" w:hAnsi="宋体"/>
                <w:color w:val="auto"/>
                <w:sz w:val="24"/>
                <w:highlight w:val="none"/>
              </w:rPr>
              <w:t>年内（20</w:t>
            </w:r>
            <w:r>
              <w:rPr>
                <w:rFonts w:hint="eastAsia" w:ascii="宋体" w:hAnsi="宋体"/>
                <w:color w:val="auto"/>
                <w:sz w:val="24"/>
                <w:highlight w:val="none"/>
              </w:rPr>
              <w:t>2</w:t>
            </w:r>
            <w:r>
              <w:rPr>
                <w:rFonts w:hint="eastAsia" w:ascii="宋体" w:hAnsi="宋体"/>
                <w:color w:val="auto"/>
                <w:sz w:val="24"/>
                <w:highlight w:val="none"/>
                <w:lang w:val="en-US" w:eastAsia="zh-CN"/>
              </w:rPr>
              <w:t>3</w:t>
            </w:r>
            <w:r>
              <w:rPr>
                <w:rFonts w:ascii="宋体" w:hAnsi="宋体"/>
                <w:color w:val="auto"/>
                <w:sz w:val="24"/>
                <w:highlight w:val="none"/>
              </w:rPr>
              <w:t>年</w:t>
            </w:r>
            <w:r>
              <w:rPr>
                <w:rFonts w:hint="eastAsia" w:ascii="宋体" w:hAnsi="宋体"/>
                <w:color w:val="auto"/>
                <w:sz w:val="24"/>
                <w:highlight w:val="none"/>
                <w:lang w:eastAsia="zh-CN"/>
              </w:rPr>
              <w:t>2月</w:t>
            </w:r>
            <w:r>
              <w:rPr>
                <w:rFonts w:ascii="宋体" w:hAnsi="宋体"/>
                <w:color w:val="auto"/>
                <w:sz w:val="24"/>
                <w:highlight w:val="none"/>
              </w:rPr>
              <w:t>1日至今，以合同签订时间为准）至少承</w:t>
            </w:r>
            <w:r>
              <w:rPr>
                <w:rFonts w:hint="eastAsia" w:ascii="宋体" w:hAnsi="宋体"/>
                <w:color w:val="auto"/>
                <w:sz w:val="24"/>
                <w:highlight w:val="none"/>
                <w:lang w:val="en-US" w:eastAsia="zh-CN"/>
              </w:rPr>
              <w:t>揽</w:t>
            </w:r>
            <w:r>
              <w:rPr>
                <w:rFonts w:ascii="宋体" w:hAnsi="宋体"/>
                <w:color w:val="auto"/>
                <w:sz w:val="24"/>
                <w:highlight w:val="none"/>
              </w:rPr>
              <w:t>过1项</w:t>
            </w:r>
            <w:r>
              <w:rPr>
                <w:rFonts w:hint="eastAsia" w:ascii="宋体" w:hAnsi="宋体"/>
                <w:color w:val="auto"/>
                <w:sz w:val="24"/>
                <w:highlight w:val="none"/>
              </w:rPr>
              <w:t>党政机关、企事业单位综合物业服务管理项目（至少应包含保洁、秩序维护、设施设备维护等物业服务内容）。</w:t>
            </w:r>
          </w:p>
        </w:tc>
      </w:tr>
    </w:tbl>
    <w:p w14:paraId="57690BBE">
      <w:pPr>
        <w:tabs>
          <w:tab w:val="left" w:pos="3300"/>
        </w:tabs>
        <w:spacing w:line="360" w:lineRule="auto"/>
        <w:jc w:val="center"/>
        <w:rPr>
          <w:rFonts w:ascii="宋体" w:hAnsi="宋体"/>
          <w:b/>
          <w:color w:val="auto"/>
          <w:sz w:val="24"/>
          <w:highlight w:val="none"/>
        </w:rPr>
      </w:pPr>
    </w:p>
    <w:p w14:paraId="32FD25AC">
      <w:pPr>
        <w:spacing w:line="360" w:lineRule="auto"/>
        <w:jc w:val="center"/>
        <w:rPr>
          <w:rFonts w:ascii="宋体" w:hAnsi="宋体"/>
          <w:b/>
          <w:color w:val="auto"/>
          <w:sz w:val="24"/>
          <w:highlight w:val="none"/>
        </w:rPr>
      </w:pPr>
    </w:p>
    <w:p w14:paraId="0BD0AB41">
      <w:pPr>
        <w:spacing w:line="360" w:lineRule="auto"/>
        <w:jc w:val="center"/>
        <w:rPr>
          <w:rFonts w:hint="eastAsia"/>
          <w:color w:val="auto"/>
          <w:sz w:val="24"/>
          <w:highlight w:val="none"/>
        </w:rPr>
      </w:pPr>
      <w:r>
        <w:rPr>
          <w:rFonts w:hint="eastAsia" w:ascii="宋体" w:hAnsi="宋体"/>
          <w:b/>
          <w:color w:val="auto"/>
          <w:sz w:val="24"/>
          <w:highlight w:val="none"/>
        </w:rPr>
        <w:t>附录</w:t>
      </w:r>
      <w:r>
        <w:rPr>
          <w:rFonts w:ascii="宋体" w:hAnsi="宋体"/>
          <w:b/>
          <w:color w:val="auto"/>
          <w:sz w:val="24"/>
          <w:highlight w:val="none"/>
        </w:rPr>
        <w:t>3</w:t>
      </w:r>
      <w:r>
        <w:rPr>
          <w:rFonts w:hint="eastAsia" w:ascii="宋体" w:hAnsi="宋体"/>
          <w:b/>
          <w:color w:val="auto"/>
          <w:sz w:val="24"/>
          <w:highlight w:val="none"/>
        </w:rPr>
        <w:t xml:space="preserve">  资格审查条件（信誉最低条件）</w:t>
      </w:r>
    </w:p>
    <w:tbl>
      <w:tblPr>
        <w:tblStyle w:val="19"/>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14:paraId="1D0E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noWrap w:val="0"/>
            <w:vAlign w:val="center"/>
          </w:tcPr>
          <w:p w14:paraId="47E82A92">
            <w:pPr>
              <w:spacing w:line="360" w:lineRule="auto"/>
              <w:jc w:val="center"/>
              <w:rPr>
                <w:rFonts w:ascii="宋体" w:hAnsi="宋体"/>
                <w:color w:val="auto"/>
                <w:sz w:val="24"/>
                <w:highlight w:val="none"/>
              </w:rPr>
            </w:pPr>
            <w:r>
              <w:rPr>
                <w:rFonts w:hint="eastAsia" w:ascii="宋体" w:hAnsi="宋体"/>
                <w:color w:val="auto"/>
                <w:sz w:val="24"/>
                <w:highlight w:val="none"/>
              </w:rPr>
              <w:t>信 誉 要 求</w:t>
            </w:r>
          </w:p>
        </w:tc>
      </w:tr>
      <w:tr w14:paraId="2491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343" w:type="dxa"/>
            <w:noWrap w:val="0"/>
            <w:vAlign w:val="center"/>
          </w:tcPr>
          <w:p w14:paraId="6353D27C">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投标人在近1年(202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eastAsia="zh-CN"/>
              </w:rPr>
              <w:t>2月</w:t>
            </w:r>
            <w:r>
              <w:rPr>
                <w:rFonts w:hint="eastAsia" w:ascii="宋体" w:hAnsi="宋体"/>
                <w:color w:val="auto"/>
                <w:sz w:val="24"/>
                <w:highlight w:val="none"/>
              </w:rPr>
              <w:t>1日至今)中不曾在物业服务合同中违约而被驱逐或因投标人自身的原因而使物业服务项目合同被解除。</w:t>
            </w:r>
          </w:p>
        </w:tc>
      </w:tr>
    </w:tbl>
    <w:p w14:paraId="6A216B95">
      <w:pPr>
        <w:tabs>
          <w:tab w:val="left" w:pos="3300"/>
        </w:tabs>
        <w:spacing w:line="360" w:lineRule="auto"/>
        <w:jc w:val="center"/>
        <w:rPr>
          <w:rFonts w:ascii="宋体" w:hAnsi="宋体"/>
          <w:b/>
          <w:color w:val="auto"/>
          <w:sz w:val="24"/>
          <w:highlight w:val="none"/>
        </w:rPr>
      </w:pPr>
    </w:p>
    <w:p w14:paraId="05BF6E62">
      <w:pPr>
        <w:spacing w:line="360" w:lineRule="auto"/>
        <w:jc w:val="center"/>
        <w:rPr>
          <w:rFonts w:ascii="宋体" w:hAnsi="宋体"/>
          <w:b/>
          <w:color w:val="auto"/>
          <w:sz w:val="24"/>
          <w:highlight w:val="none"/>
        </w:rPr>
      </w:pPr>
    </w:p>
    <w:p w14:paraId="7D2E13C8">
      <w:pPr>
        <w:spacing w:line="360" w:lineRule="auto"/>
        <w:jc w:val="center"/>
        <w:rPr>
          <w:rFonts w:ascii="宋体" w:hAnsi="宋体"/>
          <w:b/>
          <w:color w:val="auto"/>
          <w:sz w:val="24"/>
          <w:highlight w:val="none"/>
        </w:rPr>
      </w:pPr>
      <w:r>
        <w:rPr>
          <w:rFonts w:hint="eastAsia" w:ascii="宋体" w:hAnsi="宋体"/>
          <w:b/>
          <w:color w:val="auto"/>
          <w:sz w:val="24"/>
          <w:highlight w:val="none"/>
        </w:rPr>
        <w:t>附录4  资格审查条件（主要人员最低要求）</w:t>
      </w:r>
    </w:p>
    <w:tbl>
      <w:tblPr>
        <w:tblStyle w:val="19"/>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766"/>
        <w:gridCol w:w="6874"/>
      </w:tblGrid>
      <w:tr w14:paraId="73F2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52" w:type="dxa"/>
            <w:noWrap w:val="0"/>
            <w:vAlign w:val="center"/>
          </w:tcPr>
          <w:p w14:paraId="23C4AF19">
            <w:pPr>
              <w:spacing w:line="360" w:lineRule="auto"/>
              <w:jc w:val="center"/>
              <w:rPr>
                <w:rFonts w:hint="eastAsia" w:ascii="宋体" w:hAnsi="宋体"/>
                <w:color w:val="auto"/>
                <w:sz w:val="24"/>
                <w:highlight w:val="none"/>
              </w:rPr>
            </w:pPr>
            <w:r>
              <w:rPr>
                <w:rFonts w:hint="eastAsia" w:ascii="宋体" w:hAnsi="宋体"/>
                <w:color w:val="auto"/>
                <w:sz w:val="24"/>
                <w:highlight w:val="none"/>
              </w:rPr>
              <w:t>人员</w:t>
            </w:r>
          </w:p>
        </w:tc>
        <w:tc>
          <w:tcPr>
            <w:tcW w:w="766" w:type="dxa"/>
            <w:noWrap w:val="0"/>
            <w:vAlign w:val="center"/>
          </w:tcPr>
          <w:p w14:paraId="6876788A">
            <w:pPr>
              <w:spacing w:line="360" w:lineRule="auto"/>
              <w:jc w:val="center"/>
              <w:rPr>
                <w:rFonts w:hint="eastAsia" w:ascii="宋体" w:hAnsi="宋体"/>
                <w:color w:val="auto"/>
                <w:sz w:val="24"/>
                <w:highlight w:val="none"/>
              </w:rPr>
            </w:pPr>
            <w:r>
              <w:rPr>
                <w:rFonts w:hint="eastAsia" w:ascii="宋体" w:hAnsi="宋体"/>
                <w:color w:val="auto"/>
                <w:sz w:val="24"/>
                <w:highlight w:val="none"/>
              </w:rPr>
              <w:t>数量</w:t>
            </w:r>
          </w:p>
        </w:tc>
        <w:tc>
          <w:tcPr>
            <w:tcW w:w="6874" w:type="dxa"/>
            <w:noWrap w:val="0"/>
            <w:vAlign w:val="center"/>
          </w:tcPr>
          <w:p w14:paraId="7F056A3D">
            <w:pPr>
              <w:spacing w:line="360" w:lineRule="auto"/>
              <w:jc w:val="center"/>
              <w:rPr>
                <w:rFonts w:ascii="宋体" w:hAnsi="宋体"/>
                <w:color w:val="auto"/>
                <w:sz w:val="24"/>
                <w:highlight w:val="none"/>
              </w:rPr>
            </w:pPr>
            <w:r>
              <w:rPr>
                <w:rFonts w:hint="eastAsia" w:ascii="宋体" w:hAnsi="宋体"/>
                <w:color w:val="auto"/>
                <w:sz w:val="24"/>
                <w:highlight w:val="none"/>
              </w:rPr>
              <w:t>资格要求</w:t>
            </w:r>
          </w:p>
        </w:tc>
      </w:tr>
      <w:tr w14:paraId="2602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52" w:type="dxa"/>
            <w:noWrap w:val="0"/>
            <w:vAlign w:val="center"/>
          </w:tcPr>
          <w:p w14:paraId="5EFC557E">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项目负责人</w:t>
            </w:r>
          </w:p>
        </w:tc>
        <w:tc>
          <w:tcPr>
            <w:tcW w:w="766" w:type="dxa"/>
            <w:noWrap w:val="0"/>
            <w:vAlign w:val="center"/>
          </w:tcPr>
          <w:p w14:paraId="65BA3369">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1人</w:t>
            </w:r>
          </w:p>
        </w:tc>
        <w:tc>
          <w:tcPr>
            <w:tcW w:w="6874" w:type="dxa"/>
            <w:noWrap w:val="0"/>
            <w:vAlign w:val="center"/>
          </w:tcPr>
          <w:p w14:paraId="6A7E4035">
            <w:pPr>
              <w:widowControl w:val="0"/>
              <w:spacing w:line="360" w:lineRule="auto"/>
              <w:ind w:firstLine="480" w:firstLineChars="200"/>
              <w:jc w:val="left"/>
              <w:rPr>
                <w:rFonts w:hint="eastAsia" w:ascii="宋体" w:hAnsi="宋体" w:eastAsia="宋体" w:cs="宋体"/>
                <w:bCs/>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项目负责人1名，50周岁及以下，大专及以上学历，具有丰富的项目管理经验。</w:t>
            </w:r>
            <w:r>
              <w:rPr>
                <w:rFonts w:ascii="宋体" w:hAnsi="宋体" w:eastAsia="宋体" w:cs="Times New Roman"/>
                <w:color w:val="auto"/>
                <w:kern w:val="2"/>
                <w:sz w:val="24"/>
                <w:szCs w:val="24"/>
                <w:highlight w:val="none"/>
                <w:lang w:val="en-US" w:eastAsia="zh-CN" w:bidi="ar-SA"/>
              </w:rPr>
              <w:t>近</w:t>
            </w:r>
            <w:r>
              <w:rPr>
                <w:rFonts w:hint="eastAsia" w:ascii="宋体" w:hAnsi="宋体" w:eastAsia="宋体" w:cs="Times New Roman"/>
                <w:color w:val="auto"/>
                <w:kern w:val="2"/>
                <w:sz w:val="24"/>
                <w:szCs w:val="24"/>
                <w:highlight w:val="none"/>
                <w:lang w:val="en-US" w:eastAsia="zh-CN" w:bidi="ar-SA"/>
              </w:rPr>
              <w:t>3</w:t>
            </w:r>
            <w:r>
              <w:rPr>
                <w:rFonts w:ascii="宋体" w:hAnsi="宋体" w:eastAsia="宋体" w:cs="Times New Roman"/>
                <w:color w:val="auto"/>
                <w:kern w:val="2"/>
                <w:sz w:val="24"/>
                <w:szCs w:val="24"/>
                <w:highlight w:val="none"/>
                <w:lang w:val="en-US" w:eastAsia="zh-CN" w:bidi="ar-SA"/>
              </w:rPr>
              <w:t>年内（20</w:t>
            </w:r>
            <w:r>
              <w:rPr>
                <w:rFonts w:hint="eastAsia" w:ascii="宋体" w:hAnsi="宋体" w:eastAsia="宋体" w:cs="Times New Roman"/>
                <w:color w:val="auto"/>
                <w:kern w:val="2"/>
                <w:sz w:val="24"/>
                <w:szCs w:val="24"/>
                <w:highlight w:val="none"/>
                <w:lang w:val="en-US" w:eastAsia="zh-CN" w:bidi="ar-SA"/>
              </w:rPr>
              <w:t>23</w:t>
            </w:r>
            <w:r>
              <w:rPr>
                <w:rFonts w:ascii="宋体" w:hAnsi="宋体" w:eastAsia="宋体" w:cs="Times New Roman"/>
                <w:color w:val="auto"/>
                <w:kern w:val="2"/>
                <w:sz w:val="24"/>
                <w:szCs w:val="24"/>
                <w:highlight w:val="none"/>
                <w:lang w:val="en-US" w:eastAsia="zh-CN" w:bidi="ar-SA"/>
              </w:rPr>
              <w:t>年</w:t>
            </w:r>
            <w:r>
              <w:rPr>
                <w:rFonts w:hint="eastAsia" w:ascii="宋体" w:hAnsi="宋体" w:eastAsia="宋体" w:cs="Times New Roman"/>
                <w:color w:val="auto"/>
                <w:kern w:val="2"/>
                <w:sz w:val="24"/>
                <w:szCs w:val="24"/>
                <w:highlight w:val="none"/>
                <w:lang w:val="en-US" w:eastAsia="zh-CN" w:bidi="ar-SA"/>
              </w:rPr>
              <w:t>2月</w:t>
            </w:r>
            <w:r>
              <w:rPr>
                <w:rFonts w:ascii="宋体" w:hAnsi="宋体" w:eastAsia="宋体" w:cs="Times New Roman"/>
                <w:color w:val="auto"/>
                <w:kern w:val="2"/>
                <w:sz w:val="24"/>
                <w:szCs w:val="24"/>
                <w:highlight w:val="none"/>
                <w:lang w:val="en-US" w:eastAsia="zh-CN" w:bidi="ar-SA"/>
              </w:rPr>
              <w:t>1日至今，以合同签订时间为准）至少承担过1项</w:t>
            </w:r>
            <w:r>
              <w:rPr>
                <w:rFonts w:hint="eastAsia" w:ascii="宋体" w:hAnsi="宋体" w:eastAsia="宋体" w:cs="Times New Roman"/>
                <w:color w:val="auto"/>
                <w:kern w:val="2"/>
                <w:sz w:val="24"/>
                <w:szCs w:val="24"/>
                <w:highlight w:val="none"/>
                <w:lang w:val="en-US" w:eastAsia="zh-CN" w:bidi="ar-SA"/>
              </w:rPr>
              <w:t>党政机关、企事业单位综合物业服务管理项目（至少应包含保洁、秩序维护、设施设备维护等物业服务内容）的项目负责人。</w:t>
            </w:r>
          </w:p>
        </w:tc>
      </w:tr>
    </w:tbl>
    <w:p w14:paraId="17426278">
      <w:pPr>
        <w:rPr>
          <w:rFonts w:ascii="宋体" w:hAnsi="宋体"/>
          <w:b/>
          <w:bCs/>
          <w:color w:val="auto"/>
          <w:sz w:val="24"/>
          <w:highlight w:val="none"/>
        </w:rPr>
      </w:pPr>
    </w:p>
    <w:p w14:paraId="3E2EBA35">
      <w:pPr>
        <w:outlineLvl w:val="1"/>
        <w:rPr>
          <w:rFonts w:ascii="宋体" w:hAnsi="宋体"/>
          <w:color w:val="auto"/>
          <w:sz w:val="28"/>
          <w:szCs w:val="28"/>
          <w:highlight w:val="none"/>
        </w:rPr>
      </w:pPr>
      <w:r>
        <w:rPr>
          <w:rFonts w:ascii="宋体" w:hAnsi="宋体"/>
          <w:bCs/>
          <w:color w:val="auto"/>
          <w:sz w:val="28"/>
          <w:szCs w:val="28"/>
          <w:highlight w:val="none"/>
        </w:rPr>
        <w:br w:type="page"/>
      </w:r>
      <w:bookmarkStart w:id="0" w:name="_Toc155970200"/>
      <w:bookmarkStart w:id="1" w:name="_Toc155970156"/>
      <w:r>
        <w:rPr>
          <w:rFonts w:hint="eastAsia" w:ascii="宋体" w:hAnsi="宋体"/>
          <w:b/>
          <w:bCs/>
          <w:color w:val="auto"/>
          <w:sz w:val="28"/>
          <w:szCs w:val="36"/>
          <w:highlight w:val="none"/>
        </w:rPr>
        <w:t xml:space="preserve">附件2 </w:t>
      </w:r>
      <w:r>
        <w:rPr>
          <w:rFonts w:hint="eastAsia" w:ascii="宋体" w:hAnsi="宋体"/>
          <w:b/>
          <w:bCs/>
          <w:color w:val="auto"/>
          <w:sz w:val="28"/>
          <w:szCs w:val="36"/>
          <w:highlight w:val="none"/>
          <w:lang w:val="en-US" w:eastAsia="zh-CN"/>
        </w:rPr>
        <w:t xml:space="preserve"> </w:t>
      </w:r>
      <w:r>
        <w:rPr>
          <w:rFonts w:hint="eastAsia" w:ascii="宋体" w:hAnsi="宋体"/>
          <w:b/>
          <w:bCs/>
          <w:color w:val="auto"/>
          <w:sz w:val="28"/>
          <w:szCs w:val="36"/>
          <w:highlight w:val="none"/>
        </w:rPr>
        <w:t>评标办法</w:t>
      </w:r>
      <w:bookmarkEnd w:id="0"/>
      <w:bookmarkEnd w:id="1"/>
    </w:p>
    <w:p w14:paraId="27A074F3">
      <w:pPr>
        <w:snapToGrid w:val="0"/>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评标办法（综合评估法）</w:t>
      </w:r>
    </w:p>
    <w:p w14:paraId="0A58FAFA">
      <w:pPr>
        <w:autoSpaceDE w:val="0"/>
        <w:autoSpaceDN w:val="0"/>
        <w:adjustRightInd w:val="0"/>
        <w:snapToGrid w:val="0"/>
        <w:spacing w:line="360" w:lineRule="auto"/>
        <w:ind w:right="113"/>
        <w:jc w:val="center"/>
        <w:rPr>
          <w:rFonts w:ascii="宋体" w:hAnsi="宋体"/>
          <w:b/>
          <w:bCs/>
          <w:color w:val="auto"/>
          <w:sz w:val="28"/>
          <w:szCs w:val="36"/>
          <w:highlight w:val="none"/>
        </w:rPr>
      </w:pPr>
      <w:r>
        <w:rPr>
          <w:rFonts w:hint="eastAsia" w:ascii="宋体" w:hAnsi="宋体"/>
          <w:b/>
          <w:bCs/>
          <w:color w:val="auto"/>
          <w:sz w:val="28"/>
          <w:szCs w:val="36"/>
          <w:highlight w:val="none"/>
        </w:rPr>
        <w:t>评标办法前附表</w:t>
      </w: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077"/>
        <w:gridCol w:w="1589"/>
        <w:gridCol w:w="6405"/>
      </w:tblGrid>
      <w:tr w14:paraId="1408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666" w:type="dxa"/>
            <w:gridSpan w:val="2"/>
            <w:noWrap w:val="0"/>
            <w:vAlign w:val="center"/>
          </w:tcPr>
          <w:p w14:paraId="1EA694E5">
            <w:pPr>
              <w:adjustRightInd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条款号</w:t>
            </w:r>
          </w:p>
        </w:tc>
        <w:tc>
          <w:tcPr>
            <w:tcW w:w="6405" w:type="dxa"/>
            <w:noWrap w:val="0"/>
            <w:vAlign w:val="center"/>
          </w:tcPr>
          <w:p w14:paraId="48FE4B38">
            <w:pPr>
              <w:adjustRightInd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评审因素与评审标准</w:t>
            </w:r>
          </w:p>
        </w:tc>
      </w:tr>
      <w:tr w14:paraId="5E33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077" w:type="dxa"/>
            <w:noWrap w:val="0"/>
            <w:vAlign w:val="center"/>
          </w:tcPr>
          <w:p w14:paraId="1BBCCCDB">
            <w:pPr>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1589" w:type="dxa"/>
            <w:noWrap w:val="0"/>
            <w:vAlign w:val="center"/>
          </w:tcPr>
          <w:p w14:paraId="5B0B4BCD">
            <w:pPr>
              <w:jc w:val="center"/>
              <w:rPr>
                <w:rFonts w:hint="eastAsia" w:ascii="宋体" w:hAnsi="宋体" w:cs="宋体"/>
                <w:b/>
                <w:color w:val="auto"/>
                <w:sz w:val="24"/>
                <w:highlight w:val="none"/>
              </w:rPr>
            </w:pPr>
            <w:r>
              <w:rPr>
                <w:rFonts w:hint="eastAsia" w:ascii="宋体" w:hAnsi="宋体" w:cs="宋体"/>
                <w:color w:val="auto"/>
                <w:sz w:val="24"/>
                <w:highlight w:val="none"/>
              </w:rPr>
              <w:t>评标办法</w:t>
            </w:r>
          </w:p>
        </w:tc>
        <w:tc>
          <w:tcPr>
            <w:tcW w:w="6405" w:type="dxa"/>
            <w:noWrap w:val="0"/>
            <w:vAlign w:val="center"/>
          </w:tcPr>
          <w:p w14:paraId="7BCC2195">
            <w:pPr>
              <w:snapToGrid w:val="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本次评标采用综合评估法。评标委员会对满足招标文件实质性要求的投标文件，按照本章第2.2款规定的评分标准进行打分，并按得分由高到低顺序推荐1-3中标候选人。综合评分相等时，评标委员会依次按照以下优先顺序推荐中标候选人：</w:t>
            </w:r>
          </w:p>
          <w:p w14:paraId="2146B0F0">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（1）评标价低的投标人优先；</w:t>
            </w:r>
          </w:p>
          <w:p w14:paraId="05DAC927">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（2）服务方案得分较高的投标人优先；</w:t>
            </w:r>
          </w:p>
          <w:p w14:paraId="317D353D">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（3）投标人近3年内满足资格审查条件(业绩最低条件)要求的业绩累计金额高的优先。</w:t>
            </w:r>
          </w:p>
          <w:p w14:paraId="00EA71D8">
            <w:pPr>
              <w:widowControl w:val="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通过第一信封商务、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推荐中标候选人。</w:t>
            </w:r>
          </w:p>
        </w:tc>
      </w:tr>
      <w:tr w14:paraId="243F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077" w:type="dxa"/>
            <w:noWrap w:val="0"/>
            <w:vAlign w:val="center"/>
          </w:tcPr>
          <w:p w14:paraId="4AD9011D">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2.1.1</w:t>
            </w:r>
          </w:p>
          <w:p w14:paraId="7EA5C8EC">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2.1.3</w:t>
            </w:r>
          </w:p>
        </w:tc>
        <w:tc>
          <w:tcPr>
            <w:tcW w:w="1589" w:type="dxa"/>
            <w:noWrap w:val="0"/>
            <w:vAlign w:val="center"/>
          </w:tcPr>
          <w:p w14:paraId="3BA8B004">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形式评审与响应性评审标准</w:t>
            </w:r>
          </w:p>
        </w:tc>
        <w:tc>
          <w:tcPr>
            <w:tcW w:w="6405" w:type="dxa"/>
            <w:noWrap w:val="0"/>
            <w:vAlign w:val="top"/>
          </w:tcPr>
          <w:p w14:paraId="51302723">
            <w:pPr>
              <w:tabs>
                <w:tab w:val="left" w:pos="3060"/>
              </w:tabs>
              <w:rPr>
                <w:rFonts w:hint="eastAsia" w:ascii="宋体" w:hAnsi="宋体" w:cs="宋体"/>
                <w:b/>
                <w:bCs/>
                <w:color w:val="auto"/>
                <w:sz w:val="24"/>
                <w:highlight w:val="none"/>
              </w:rPr>
            </w:pPr>
            <w:r>
              <w:rPr>
                <w:rFonts w:hint="eastAsia" w:ascii="宋体" w:hAnsi="宋体" w:cs="宋体"/>
                <w:b/>
                <w:bCs/>
                <w:color w:val="auto"/>
                <w:sz w:val="24"/>
                <w:highlight w:val="none"/>
              </w:rPr>
              <w:t>第一个信封（商务及技术文件）评审标准:</w:t>
            </w:r>
          </w:p>
          <w:p w14:paraId="5E83C8FF">
            <w:pPr>
              <w:snapToGrid w:val="0"/>
              <w:rPr>
                <w:rFonts w:hint="eastAsia" w:ascii="宋体" w:hAnsi="宋体" w:cs="宋体"/>
                <w:color w:val="auto"/>
                <w:sz w:val="24"/>
                <w:highlight w:val="none"/>
              </w:rPr>
            </w:pPr>
            <w:r>
              <w:rPr>
                <w:rFonts w:hint="eastAsia" w:ascii="宋体" w:hAnsi="宋体" w:cs="宋体"/>
                <w:color w:val="auto"/>
                <w:sz w:val="24"/>
                <w:highlight w:val="none"/>
              </w:rPr>
              <w:t>（1）投标文件按照招标文件规定的格式、内容填写，字迹清晰可辨：</w:t>
            </w:r>
          </w:p>
          <w:p w14:paraId="3A741897">
            <w:pPr>
              <w:snapToGrid w:val="0"/>
              <w:rPr>
                <w:rFonts w:hint="eastAsia" w:ascii="宋体" w:hAnsi="宋体" w:cs="宋体"/>
                <w:color w:val="auto"/>
                <w:sz w:val="24"/>
                <w:highlight w:val="none"/>
              </w:rPr>
            </w:pPr>
            <w:r>
              <w:rPr>
                <w:rFonts w:hint="eastAsia" w:ascii="宋体" w:hAnsi="宋体" w:cs="宋体"/>
                <w:color w:val="auto"/>
                <w:sz w:val="24"/>
                <w:highlight w:val="none"/>
              </w:rPr>
              <w:t>a.投标函按招标文件规定填报了项目名称、补遗书编号（如有）、项目负责人姓名、服务期限和服务标准；</w:t>
            </w:r>
          </w:p>
          <w:p w14:paraId="08D79107">
            <w:pPr>
              <w:snapToGrid w:val="0"/>
              <w:rPr>
                <w:rFonts w:hint="eastAsia" w:ascii="宋体" w:hAnsi="宋体" w:cs="宋体"/>
                <w:color w:val="auto"/>
                <w:sz w:val="24"/>
                <w:highlight w:val="none"/>
              </w:rPr>
            </w:pPr>
            <w:r>
              <w:rPr>
                <w:rFonts w:hint="eastAsia" w:ascii="宋体" w:hAnsi="宋体" w:cs="宋体"/>
                <w:color w:val="auto"/>
                <w:sz w:val="24"/>
                <w:highlight w:val="none"/>
              </w:rPr>
              <w:t>b.投标文件组成齐全完整，内容均按规定填写。</w:t>
            </w:r>
          </w:p>
          <w:p w14:paraId="27A65457">
            <w:pPr>
              <w:snapToGrid w:val="0"/>
              <w:rPr>
                <w:rFonts w:hint="eastAsia" w:ascii="宋体" w:hAnsi="宋体" w:cs="宋体"/>
                <w:color w:val="auto"/>
                <w:sz w:val="24"/>
                <w:highlight w:val="none"/>
              </w:rPr>
            </w:pPr>
            <w:r>
              <w:rPr>
                <w:rFonts w:hint="eastAsia" w:ascii="宋体" w:hAnsi="宋体" w:cs="宋体"/>
                <w:color w:val="auto"/>
                <w:sz w:val="24"/>
                <w:highlight w:val="none"/>
              </w:rPr>
              <w:t>（2）投标文件上法定代表人或其委托代理人的签字、投标人的单位章盖章齐全，符合招标文件规定。</w:t>
            </w:r>
          </w:p>
          <w:p w14:paraId="71F847BE">
            <w:pPr>
              <w:snapToGrid w:val="0"/>
              <w:rPr>
                <w:rFonts w:ascii="宋体" w:hAnsi="宋体" w:cs="宋体"/>
                <w:color w:val="auto"/>
                <w:sz w:val="24"/>
                <w:highlight w:val="none"/>
              </w:rPr>
            </w:pPr>
            <w:r>
              <w:rPr>
                <w:rFonts w:hint="eastAsia" w:ascii="宋体" w:hAnsi="宋体" w:cs="宋体"/>
                <w:color w:val="auto"/>
                <w:sz w:val="24"/>
                <w:highlight w:val="none"/>
              </w:rPr>
              <w:t>（3）投标人按照招标文件的规定提供了投标保证金，并符合投标人须知前附表3.4项的相关规定。</w:t>
            </w:r>
          </w:p>
          <w:p w14:paraId="3BA9FD3D">
            <w:pPr>
              <w:snapToGrid w:val="0"/>
              <w:rPr>
                <w:rFonts w:ascii="宋体" w:hAnsi="宋体" w:cs="宋体"/>
                <w:color w:val="auto"/>
                <w:sz w:val="24"/>
                <w:highlight w:val="none"/>
              </w:rPr>
            </w:pPr>
            <w:r>
              <w:rPr>
                <w:rFonts w:hint="eastAsia" w:ascii="宋体" w:hAnsi="宋体" w:cs="宋体"/>
                <w:color w:val="auto"/>
                <w:sz w:val="24"/>
                <w:highlight w:val="none"/>
              </w:rPr>
              <w:t>（4）投标人法定代表人授权委托代理人签署投标文件的，须提交授权委托书，符合招标文件规定。</w:t>
            </w:r>
          </w:p>
          <w:p w14:paraId="76587431">
            <w:pPr>
              <w:tabs>
                <w:tab w:val="left" w:pos="3060"/>
              </w:tabs>
              <w:rPr>
                <w:rFonts w:ascii="宋体" w:hAnsi="宋体" w:cs="宋体"/>
                <w:color w:val="auto"/>
                <w:sz w:val="24"/>
                <w:highlight w:val="none"/>
              </w:rPr>
            </w:pPr>
            <w:r>
              <w:rPr>
                <w:rFonts w:hint="eastAsia" w:ascii="宋体" w:hAnsi="宋体" w:cs="宋体"/>
                <w:color w:val="auto"/>
                <w:sz w:val="24"/>
                <w:highlight w:val="none"/>
              </w:rPr>
              <w:t>（5）投标人法定代表人若亲自签署投标文件的，须提供法定代表人身份证明，符合招标文件规定。</w:t>
            </w:r>
          </w:p>
          <w:p w14:paraId="687EAAAA">
            <w:pPr>
              <w:tabs>
                <w:tab w:val="left" w:pos="3060"/>
              </w:tabs>
              <w:rPr>
                <w:rFonts w:hint="eastAsia" w:ascii="宋体" w:hAnsi="宋体" w:cs="宋体"/>
                <w:color w:val="auto"/>
                <w:sz w:val="24"/>
                <w:highlight w:val="none"/>
              </w:rPr>
            </w:pPr>
            <w:r>
              <w:rPr>
                <w:rFonts w:hint="eastAsia" w:ascii="宋体" w:hAnsi="宋体" w:cs="宋体"/>
                <w:color w:val="auto"/>
                <w:sz w:val="24"/>
                <w:highlight w:val="none"/>
              </w:rPr>
              <w:t>（6）投标人未以联合体形式投标。</w:t>
            </w:r>
          </w:p>
          <w:p w14:paraId="1513D6F7">
            <w:pPr>
              <w:tabs>
                <w:tab w:val="left" w:pos="3060"/>
              </w:tabs>
              <w:snapToGrid/>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投标人未对本项目进行分包</w:t>
            </w:r>
            <w:r>
              <w:rPr>
                <w:rFonts w:hint="eastAsia" w:ascii="宋体" w:hAnsi="宋体" w:eastAsia="宋体" w:cs="宋体"/>
                <w:color w:val="auto"/>
                <w:sz w:val="24"/>
                <w:szCs w:val="24"/>
                <w:highlight w:val="none"/>
              </w:rPr>
              <w:t>。</w:t>
            </w:r>
          </w:p>
          <w:p w14:paraId="08FF62C0">
            <w:pPr>
              <w:tabs>
                <w:tab w:val="left" w:pos="3060"/>
              </w:tabs>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）投标人未提交备选方案。</w:t>
            </w:r>
          </w:p>
          <w:p w14:paraId="42A5911A">
            <w:pPr>
              <w:tabs>
                <w:tab w:val="left" w:pos="3060"/>
              </w:tabs>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）同一投标人未提交两个以上不同的投标文件。</w:t>
            </w:r>
          </w:p>
          <w:p w14:paraId="5D06011F">
            <w:pPr>
              <w:tabs>
                <w:tab w:val="left" w:pos="3060"/>
              </w:tabs>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）投标文件中未出现有关投标报价的内容。</w:t>
            </w:r>
          </w:p>
          <w:p w14:paraId="25900073">
            <w:pPr>
              <w:tabs>
                <w:tab w:val="left" w:pos="3060"/>
              </w:tabs>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）投标文件载明的招标项目服务期限符合招标文件规定。</w:t>
            </w:r>
          </w:p>
          <w:p w14:paraId="7259B48C">
            <w:pPr>
              <w:tabs>
                <w:tab w:val="left" w:pos="3060"/>
              </w:tabs>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）投标文件对招标文件的实质性要求和条件做出响应。</w:t>
            </w:r>
          </w:p>
          <w:p w14:paraId="677A8596">
            <w:pPr>
              <w:tabs>
                <w:tab w:val="left" w:pos="3060"/>
              </w:tabs>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）权利义务符合招标文件规定：</w:t>
            </w:r>
          </w:p>
          <w:p w14:paraId="1325BC90">
            <w:pPr>
              <w:tabs>
                <w:tab w:val="left" w:pos="3060"/>
              </w:tabs>
              <w:rPr>
                <w:rFonts w:hint="eastAsia" w:ascii="宋体" w:hAnsi="宋体" w:cs="宋体"/>
                <w:color w:val="auto"/>
                <w:sz w:val="24"/>
                <w:highlight w:val="none"/>
              </w:rPr>
            </w:pPr>
            <w:r>
              <w:rPr>
                <w:rFonts w:hint="eastAsia" w:ascii="宋体" w:hAnsi="宋体" w:cs="宋体"/>
                <w:color w:val="auto"/>
                <w:sz w:val="24"/>
                <w:highlight w:val="none"/>
              </w:rPr>
              <w:t>a.投标人应接受招标文件规定的风险划分原则，未提出新的风险划分办法；</w:t>
            </w:r>
          </w:p>
          <w:p w14:paraId="2D82D5DB">
            <w:pPr>
              <w:tabs>
                <w:tab w:val="left" w:pos="3060"/>
              </w:tabs>
              <w:rPr>
                <w:rFonts w:hint="eastAsia" w:ascii="宋体" w:hAnsi="宋体" w:cs="宋体"/>
                <w:color w:val="auto"/>
                <w:sz w:val="24"/>
                <w:highlight w:val="none"/>
              </w:rPr>
            </w:pPr>
            <w:r>
              <w:rPr>
                <w:rFonts w:hint="eastAsia" w:ascii="宋体" w:hAnsi="宋体" w:cs="宋体"/>
                <w:color w:val="auto"/>
                <w:sz w:val="24"/>
                <w:highlight w:val="none"/>
              </w:rPr>
              <w:t>b.投标人未增加发包人的责任范围，或减少投标人义务；</w:t>
            </w:r>
          </w:p>
          <w:p w14:paraId="3C7C6348">
            <w:pPr>
              <w:tabs>
                <w:tab w:val="left" w:pos="3060"/>
              </w:tabs>
              <w:rPr>
                <w:rFonts w:hint="eastAsia" w:ascii="宋体" w:hAnsi="宋体" w:cs="宋体"/>
                <w:color w:val="auto"/>
                <w:sz w:val="24"/>
                <w:highlight w:val="none"/>
              </w:rPr>
            </w:pPr>
            <w:r>
              <w:rPr>
                <w:rFonts w:hint="eastAsia" w:ascii="宋体" w:hAnsi="宋体" w:cs="宋体"/>
                <w:color w:val="auto"/>
                <w:sz w:val="24"/>
                <w:highlight w:val="none"/>
              </w:rPr>
              <w:t>c.投标人未提出不同的支付办法；</w:t>
            </w:r>
          </w:p>
          <w:p w14:paraId="13145030">
            <w:pPr>
              <w:tabs>
                <w:tab w:val="left" w:pos="3060"/>
              </w:tabs>
              <w:rPr>
                <w:rFonts w:hint="eastAsia" w:ascii="宋体" w:hAnsi="宋体" w:cs="宋体"/>
                <w:color w:val="auto"/>
                <w:sz w:val="24"/>
                <w:highlight w:val="none"/>
              </w:rPr>
            </w:pPr>
            <w:r>
              <w:rPr>
                <w:rFonts w:hint="eastAsia" w:ascii="宋体" w:hAnsi="宋体" w:cs="宋体"/>
                <w:color w:val="auto"/>
                <w:sz w:val="24"/>
                <w:highlight w:val="none"/>
              </w:rPr>
              <w:t>d.投标人对合同纠纷、事故处理办法未提出异议；</w:t>
            </w:r>
          </w:p>
          <w:p w14:paraId="14E1E685">
            <w:pPr>
              <w:tabs>
                <w:tab w:val="left" w:pos="3060"/>
              </w:tabs>
              <w:rPr>
                <w:rFonts w:hint="eastAsia" w:ascii="宋体" w:hAnsi="宋体" w:cs="宋体"/>
                <w:color w:val="auto"/>
                <w:sz w:val="24"/>
                <w:highlight w:val="none"/>
              </w:rPr>
            </w:pPr>
            <w:r>
              <w:rPr>
                <w:rFonts w:hint="eastAsia" w:ascii="宋体" w:hAnsi="宋体" w:cs="宋体"/>
                <w:color w:val="auto"/>
                <w:sz w:val="24"/>
                <w:highlight w:val="none"/>
              </w:rPr>
              <w:t>e.投标人在投标活动中无欺诈行为；</w:t>
            </w:r>
          </w:p>
          <w:p w14:paraId="405EDA32">
            <w:pPr>
              <w:tabs>
                <w:tab w:val="left" w:pos="3060"/>
              </w:tabs>
              <w:rPr>
                <w:rFonts w:hint="eastAsia" w:ascii="宋体" w:hAnsi="宋体" w:cs="宋体"/>
                <w:color w:val="auto"/>
                <w:sz w:val="24"/>
                <w:highlight w:val="none"/>
              </w:rPr>
            </w:pPr>
            <w:r>
              <w:rPr>
                <w:rFonts w:hint="eastAsia" w:ascii="宋体" w:hAnsi="宋体" w:cs="宋体"/>
                <w:color w:val="auto"/>
                <w:sz w:val="24"/>
                <w:highlight w:val="none"/>
              </w:rPr>
              <w:t>f.投标人未对合同条款有重要保留。</w:t>
            </w:r>
          </w:p>
          <w:p w14:paraId="2C703690">
            <w:pPr>
              <w:widowControl w:val="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 投标人名称与营业执照、基本账户开户许可证（或基本存款账户信息）一致，如企业名称有变更的，应提供其变更记录或相关部门的合法批件复印件。</w:t>
            </w:r>
          </w:p>
          <w:p w14:paraId="3452892E">
            <w:pPr>
              <w:tabs>
                <w:tab w:val="left" w:pos="3060"/>
              </w:tabs>
              <w:rPr>
                <w:rFonts w:hint="eastAsia" w:ascii="宋体" w:hAnsi="宋体" w:cs="宋体"/>
                <w:b/>
                <w:bCs/>
                <w:color w:val="auto"/>
                <w:sz w:val="24"/>
                <w:highlight w:val="none"/>
              </w:rPr>
            </w:pPr>
            <w:r>
              <w:rPr>
                <w:rFonts w:hint="eastAsia" w:ascii="宋体" w:hAnsi="宋体" w:cs="宋体"/>
                <w:b/>
                <w:bCs/>
                <w:color w:val="auto"/>
                <w:sz w:val="24"/>
                <w:highlight w:val="none"/>
              </w:rPr>
              <w:t>第二个信封（报价文件）评审标准：</w:t>
            </w:r>
          </w:p>
          <w:p w14:paraId="3D7D0C9B">
            <w:pPr>
              <w:snapToGrid w:val="0"/>
              <w:rPr>
                <w:rFonts w:hint="eastAsia" w:ascii="宋体" w:hAnsi="宋体" w:cs="宋体"/>
                <w:color w:val="auto"/>
                <w:sz w:val="24"/>
                <w:highlight w:val="none"/>
              </w:rPr>
            </w:pPr>
            <w:r>
              <w:rPr>
                <w:rFonts w:hint="eastAsia" w:ascii="宋体" w:hAnsi="宋体" w:cs="宋体"/>
                <w:color w:val="auto"/>
                <w:sz w:val="24"/>
                <w:highlight w:val="none"/>
              </w:rPr>
              <w:t>（1）投标文件按照招标文件规定的格式、内容填写，字迹清晰可辨：</w:t>
            </w:r>
          </w:p>
          <w:p w14:paraId="28F8BD8F">
            <w:pPr>
              <w:snapToGrid w:val="0"/>
              <w:rPr>
                <w:rFonts w:hint="eastAsia" w:ascii="宋体" w:hAnsi="宋体" w:cs="宋体"/>
                <w:color w:val="auto"/>
                <w:sz w:val="24"/>
                <w:highlight w:val="none"/>
              </w:rPr>
            </w:pPr>
            <w:r>
              <w:rPr>
                <w:rFonts w:hint="eastAsia" w:ascii="宋体" w:hAnsi="宋体" w:cs="宋体"/>
                <w:color w:val="auto"/>
                <w:sz w:val="24"/>
                <w:highlight w:val="none"/>
              </w:rPr>
              <w:t>a.投标函按招标文件规定填报了项目名称、补遗书编号（如有）、投标价（包括大写金额和小写金额）；</w:t>
            </w:r>
          </w:p>
          <w:p w14:paraId="79D6AEEB">
            <w:pPr>
              <w:snapToGrid w:val="0"/>
              <w:rPr>
                <w:rFonts w:hint="eastAsia" w:ascii="宋体" w:hAnsi="宋体" w:cs="宋体"/>
                <w:color w:val="auto"/>
                <w:sz w:val="24"/>
                <w:highlight w:val="none"/>
              </w:rPr>
            </w:pPr>
            <w:r>
              <w:rPr>
                <w:rFonts w:hint="eastAsia" w:ascii="宋体" w:hAnsi="宋体" w:cs="宋体"/>
                <w:color w:val="auto"/>
                <w:sz w:val="24"/>
                <w:highlight w:val="none"/>
              </w:rPr>
              <w:t>b.投标文件组成齐全完整，内容均按规定填写。</w:t>
            </w:r>
          </w:p>
          <w:p w14:paraId="397680EE">
            <w:pPr>
              <w:snapToGrid w:val="0"/>
              <w:rPr>
                <w:rFonts w:hint="eastAsia" w:ascii="宋体" w:hAnsi="宋体" w:cs="宋体"/>
                <w:color w:val="auto"/>
                <w:sz w:val="24"/>
                <w:highlight w:val="none"/>
              </w:rPr>
            </w:pPr>
            <w:r>
              <w:rPr>
                <w:rFonts w:hint="eastAsia" w:ascii="宋体" w:hAnsi="宋体" w:cs="宋体"/>
                <w:color w:val="auto"/>
                <w:sz w:val="24"/>
                <w:highlight w:val="none"/>
              </w:rPr>
              <w:t>（2）投标文件上法定代表人或其委托代理人的签字、投标人的单位章盖章齐全，符合招标文件规定。</w:t>
            </w:r>
          </w:p>
          <w:p w14:paraId="215E345C">
            <w:pPr>
              <w:tabs>
                <w:tab w:val="left" w:pos="3060"/>
              </w:tabs>
              <w:snapToGrid w:val="0"/>
              <w:rPr>
                <w:rFonts w:hint="eastAsia" w:ascii="宋体" w:hAnsi="宋体" w:cs="宋体"/>
                <w:color w:val="auto"/>
                <w:sz w:val="24"/>
                <w:highlight w:val="none"/>
              </w:rPr>
            </w:pPr>
            <w:r>
              <w:rPr>
                <w:rFonts w:hint="eastAsia" w:ascii="宋体" w:hAnsi="宋体" w:cs="宋体"/>
                <w:color w:val="auto"/>
                <w:sz w:val="24"/>
                <w:highlight w:val="none"/>
              </w:rPr>
              <w:t>（3）投标报价中的报价未超过招标文件设定的最高投标限价。</w:t>
            </w:r>
          </w:p>
          <w:p w14:paraId="07C8621E">
            <w:pPr>
              <w:tabs>
                <w:tab w:val="left" w:pos="3060"/>
              </w:tabs>
              <w:snapToGrid w:val="0"/>
              <w:rPr>
                <w:rFonts w:hint="eastAsia" w:ascii="宋体" w:hAnsi="宋体" w:cs="宋体"/>
                <w:color w:val="auto"/>
                <w:sz w:val="24"/>
                <w:highlight w:val="none"/>
              </w:rPr>
            </w:pPr>
            <w:r>
              <w:rPr>
                <w:rFonts w:hint="eastAsia" w:ascii="宋体" w:hAnsi="宋体" w:cs="宋体"/>
                <w:color w:val="auto"/>
                <w:sz w:val="24"/>
                <w:highlight w:val="none"/>
              </w:rPr>
              <w:t>（4）投标报价中报价的大写金额能够确定具体数值。</w:t>
            </w:r>
          </w:p>
          <w:p w14:paraId="11E23642">
            <w:pPr>
              <w:tabs>
                <w:tab w:val="left" w:pos="3060"/>
              </w:tabs>
              <w:snapToGrid w:val="0"/>
              <w:rPr>
                <w:rFonts w:hint="eastAsia" w:ascii="宋体" w:hAnsi="宋体" w:cs="宋体"/>
                <w:color w:val="auto"/>
                <w:sz w:val="24"/>
                <w:highlight w:val="none"/>
              </w:rPr>
            </w:pPr>
            <w:r>
              <w:rPr>
                <w:rFonts w:hint="eastAsia" w:ascii="宋体" w:hAnsi="宋体" w:cs="宋体"/>
                <w:color w:val="auto"/>
                <w:sz w:val="24"/>
                <w:highlight w:val="none"/>
              </w:rPr>
              <w:t>（5）报价清单中的投标报价与投标函大写金额一致。</w:t>
            </w:r>
          </w:p>
        </w:tc>
      </w:tr>
      <w:tr w14:paraId="3160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077" w:type="dxa"/>
            <w:noWrap w:val="0"/>
            <w:vAlign w:val="center"/>
          </w:tcPr>
          <w:p w14:paraId="1A92D0B0">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2.1.2</w:t>
            </w:r>
          </w:p>
        </w:tc>
        <w:tc>
          <w:tcPr>
            <w:tcW w:w="1589" w:type="dxa"/>
            <w:noWrap w:val="0"/>
            <w:vAlign w:val="center"/>
          </w:tcPr>
          <w:p w14:paraId="59A3CF9F">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资格评审标准</w:t>
            </w:r>
          </w:p>
        </w:tc>
        <w:tc>
          <w:tcPr>
            <w:tcW w:w="6405" w:type="dxa"/>
            <w:noWrap w:val="0"/>
            <w:vAlign w:val="top"/>
          </w:tcPr>
          <w:p w14:paraId="0B64F722">
            <w:pPr>
              <w:widowControl w:val="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（1）投标人具备有效的营业执照、组织机构代码证（三证合一或五证合一的除外）和基本账户开户许可证（或基本存款账户信息）。</w:t>
            </w:r>
          </w:p>
          <w:p w14:paraId="00011C56">
            <w:pPr>
              <w:widowControl w:val="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（2）投标人的资质符合招标文件规定（如有）。</w:t>
            </w:r>
          </w:p>
          <w:p w14:paraId="0B8D05A4">
            <w:pPr>
              <w:tabs>
                <w:tab w:val="left" w:pos="3060"/>
              </w:tabs>
              <w:rPr>
                <w:rFonts w:hint="eastAsia" w:ascii="宋体" w:hAnsi="宋体" w:cs="宋体"/>
                <w:color w:val="auto"/>
                <w:sz w:val="24"/>
                <w:highlight w:val="none"/>
              </w:rPr>
            </w:pPr>
            <w:r>
              <w:rPr>
                <w:rFonts w:hint="eastAsia" w:ascii="宋体" w:hAnsi="宋体" w:cs="宋体"/>
                <w:color w:val="auto"/>
                <w:sz w:val="24"/>
                <w:highlight w:val="none"/>
              </w:rPr>
              <w:t>（3）投标人的类似项目业绩符合招标文件规定。</w:t>
            </w:r>
          </w:p>
          <w:p w14:paraId="7FED92FF">
            <w:pPr>
              <w:tabs>
                <w:tab w:val="left" w:pos="3060"/>
              </w:tabs>
              <w:rPr>
                <w:rFonts w:hint="eastAsia" w:ascii="宋体" w:hAnsi="宋体" w:cs="宋体"/>
                <w:color w:val="auto"/>
                <w:sz w:val="24"/>
                <w:highlight w:val="none"/>
              </w:rPr>
            </w:pPr>
            <w:r>
              <w:rPr>
                <w:rFonts w:hint="eastAsia" w:ascii="宋体" w:hAnsi="宋体" w:cs="宋体"/>
                <w:color w:val="auto"/>
                <w:sz w:val="24"/>
                <w:highlight w:val="none"/>
              </w:rPr>
              <w:t>（4）投标人的信誉符合招标文件规定。</w:t>
            </w:r>
          </w:p>
          <w:p w14:paraId="49F5DD13">
            <w:pPr>
              <w:tabs>
                <w:tab w:val="left" w:pos="3060"/>
              </w:tabs>
              <w:rPr>
                <w:rFonts w:hint="eastAsia" w:ascii="宋体" w:hAnsi="宋体" w:cs="宋体"/>
                <w:color w:val="auto"/>
                <w:sz w:val="24"/>
                <w:highlight w:val="none"/>
              </w:rPr>
            </w:pPr>
            <w:r>
              <w:rPr>
                <w:rFonts w:hint="eastAsia" w:ascii="宋体" w:hAnsi="宋体" w:cs="宋体"/>
                <w:color w:val="auto"/>
                <w:sz w:val="24"/>
                <w:highlight w:val="none"/>
              </w:rPr>
              <w:t>（5）投标人的项目负责人符合招标文件规定。</w:t>
            </w:r>
          </w:p>
          <w:p w14:paraId="1BA3993B">
            <w:pPr>
              <w:tabs>
                <w:tab w:val="left" w:pos="3060"/>
              </w:tabs>
              <w:rPr>
                <w:rFonts w:ascii="宋体" w:hAnsi="宋体" w:cs="宋体"/>
                <w:color w:val="auto"/>
                <w:sz w:val="24"/>
                <w:highlight w:val="none"/>
              </w:rPr>
            </w:pPr>
            <w:r>
              <w:rPr>
                <w:rFonts w:hint="eastAsia" w:ascii="宋体" w:hAnsi="宋体" w:cs="宋体"/>
                <w:color w:val="auto"/>
                <w:sz w:val="24"/>
                <w:highlight w:val="none"/>
              </w:rPr>
              <w:t>（6）投标人的其他要求符合招标文件规定。</w:t>
            </w:r>
          </w:p>
          <w:p w14:paraId="2A7E9940">
            <w:pPr>
              <w:tabs>
                <w:tab w:val="left" w:pos="3060"/>
              </w:tabs>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）投标人不存在第二章“投标人须知”第1.4.3项和1.4.4项规定的任何一种情形。</w:t>
            </w:r>
          </w:p>
        </w:tc>
      </w:tr>
      <w:tr w14:paraId="4EE0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077" w:type="dxa"/>
            <w:noWrap w:val="0"/>
            <w:vAlign w:val="center"/>
          </w:tcPr>
          <w:p w14:paraId="7E6F7BE1">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2.2.1</w:t>
            </w:r>
          </w:p>
        </w:tc>
        <w:tc>
          <w:tcPr>
            <w:tcW w:w="1589" w:type="dxa"/>
            <w:noWrap w:val="0"/>
            <w:vAlign w:val="center"/>
          </w:tcPr>
          <w:p w14:paraId="364C6A52">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分值构成</w:t>
            </w:r>
          </w:p>
          <w:p w14:paraId="2E01CDB7">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（总分100分）</w:t>
            </w:r>
          </w:p>
        </w:tc>
        <w:tc>
          <w:tcPr>
            <w:tcW w:w="6405" w:type="dxa"/>
            <w:noWrap w:val="0"/>
            <w:vAlign w:val="center"/>
          </w:tcPr>
          <w:p w14:paraId="34159B51">
            <w:pPr>
              <w:rPr>
                <w:rFonts w:hint="eastAsia" w:ascii="宋体" w:hAnsi="宋体" w:cs="宋体"/>
                <w:b/>
                <w:color w:val="auto"/>
                <w:sz w:val="24"/>
                <w:highlight w:val="none"/>
              </w:rPr>
            </w:pPr>
            <w:r>
              <w:rPr>
                <w:rFonts w:hint="eastAsia" w:ascii="宋体" w:hAnsi="宋体" w:cs="宋体"/>
                <w:b/>
                <w:color w:val="auto"/>
                <w:sz w:val="24"/>
                <w:highlight w:val="none"/>
              </w:rPr>
              <w:t>第一个信封（商务及技术文件）评分分值构成：</w:t>
            </w:r>
          </w:p>
          <w:p w14:paraId="4FA0C07F">
            <w:pPr>
              <w:rPr>
                <w:rFonts w:hint="eastAsia" w:ascii="宋体" w:hAnsi="宋体" w:cs="宋体"/>
                <w:bCs/>
                <w:color w:val="auto"/>
                <w:sz w:val="24"/>
                <w:highlight w:val="none"/>
              </w:rPr>
            </w:pPr>
            <w:r>
              <w:rPr>
                <w:rFonts w:hint="eastAsia" w:ascii="宋体" w:hAnsi="宋体" w:cs="宋体"/>
                <w:bCs/>
                <w:color w:val="auto"/>
                <w:spacing w:val="40"/>
                <w:kern w:val="0"/>
                <w:sz w:val="24"/>
                <w:highlight w:val="none"/>
                <w:fitText w:val="1200" w:id="1144476835"/>
              </w:rPr>
              <w:t>服务方</w:t>
            </w:r>
            <w:r>
              <w:rPr>
                <w:rFonts w:hint="eastAsia" w:ascii="宋体" w:hAnsi="宋体" w:cs="宋体"/>
                <w:bCs/>
                <w:color w:val="auto"/>
                <w:spacing w:val="0"/>
                <w:kern w:val="0"/>
                <w:sz w:val="24"/>
                <w:highlight w:val="none"/>
                <w:fitText w:val="1200" w:id="1144476835"/>
              </w:rPr>
              <w:t>案</w:t>
            </w:r>
            <w:r>
              <w:rPr>
                <w:rFonts w:hint="eastAsia" w:ascii="宋体" w:hAnsi="宋体" w:cs="宋体"/>
                <w:bCs/>
                <w:color w:val="auto"/>
                <w:sz w:val="24"/>
                <w:highlight w:val="none"/>
              </w:rPr>
              <w:t>：50分</w:t>
            </w:r>
          </w:p>
          <w:p w14:paraId="6249F734">
            <w:pPr>
              <w:rPr>
                <w:rFonts w:hint="eastAsia" w:ascii="宋体" w:hAnsi="宋体" w:cs="宋体"/>
                <w:bCs/>
                <w:color w:val="auto"/>
                <w:sz w:val="24"/>
                <w:highlight w:val="none"/>
              </w:rPr>
            </w:pPr>
            <w:bookmarkStart w:id="2" w:name="_Toc68032927"/>
            <w:bookmarkStart w:id="3" w:name="_Toc4458"/>
            <w:bookmarkStart w:id="4" w:name="_Toc9557"/>
            <w:r>
              <w:rPr>
                <w:rFonts w:hint="eastAsia" w:ascii="宋体" w:hAnsi="宋体" w:cs="宋体"/>
                <w:bCs/>
                <w:color w:val="auto"/>
                <w:spacing w:val="40"/>
                <w:kern w:val="0"/>
                <w:sz w:val="24"/>
                <w:highlight w:val="none"/>
                <w:fitText w:val="1200" w:id="1403616928"/>
              </w:rPr>
              <w:t>企业业</w:t>
            </w:r>
            <w:r>
              <w:rPr>
                <w:rFonts w:hint="eastAsia" w:ascii="宋体" w:hAnsi="宋体" w:cs="宋体"/>
                <w:bCs/>
                <w:color w:val="auto"/>
                <w:spacing w:val="0"/>
                <w:kern w:val="0"/>
                <w:sz w:val="24"/>
                <w:highlight w:val="none"/>
                <w:fitText w:val="1200" w:id="1403616928"/>
              </w:rPr>
              <w:t>绩</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分</w:t>
            </w:r>
            <w:bookmarkEnd w:id="2"/>
            <w:bookmarkEnd w:id="3"/>
            <w:bookmarkEnd w:id="4"/>
          </w:p>
          <w:p w14:paraId="6F1A349E">
            <w:pPr>
              <w:rPr>
                <w:rFonts w:hint="eastAsia" w:ascii="宋体" w:hAnsi="宋体" w:cs="宋体"/>
                <w:bCs/>
                <w:color w:val="auto"/>
                <w:sz w:val="24"/>
                <w:highlight w:val="none"/>
              </w:rPr>
            </w:pPr>
            <w:r>
              <w:rPr>
                <w:rFonts w:hint="eastAsia" w:ascii="宋体" w:hAnsi="宋体" w:cs="宋体"/>
                <w:bCs/>
                <w:color w:val="auto"/>
                <w:sz w:val="24"/>
                <w:highlight w:val="none"/>
              </w:rPr>
              <w:t>项目负责人：1</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rPr>
              <w:t>分</w:t>
            </w:r>
          </w:p>
          <w:p w14:paraId="6301A113">
            <w:pPr>
              <w:rPr>
                <w:rFonts w:hint="eastAsia" w:ascii="宋体" w:hAnsi="宋体" w:cs="宋体"/>
                <w:b/>
                <w:color w:val="auto"/>
                <w:sz w:val="24"/>
                <w:highlight w:val="none"/>
              </w:rPr>
            </w:pPr>
            <w:r>
              <w:rPr>
                <w:rFonts w:hint="eastAsia" w:ascii="宋体" w:hAnsi="宋体" w:cs="宋体"/>
                <w:b/>
                <w:color w:val="auto"/>
                <w:sz w:val="24"/>
                <w:highlight w:val="none"/>
              </w:rPr>
              <w:t>第二个信封（报价文件）评分分值构成：</w:t>
            </w:r>
          </w:p>
          <w:p w14:paraId="3FB8DBA5">
            <w:pPr>
              <w:adjustRightInd w:val="0"/>
              <w:snapToGrid w:val="0"/>
              <w:rPr>
                <w:rFonts w:hint="eastAsia" w:ascii="宋体" w:hAnsi="宋体" w:cs="宋体"/>
                <w:color w:val="auto"/>
                <w:sz w:val="24"/>
                <w:highlight w:val="none"/>
              </w:rPr>
            </w:pPr>
            <w:r>
              <w:rPr>
                <w:rFonts w:hint="eastAsia" w:ascii="宋体" w:hAnsi="宋体" w:cs="宋体"/>
                <w:color w:val="auto"/>
                <w:spacing w:val="120"/>
                <w:kern w:val="0"/>
                <w:sz w:val="24"/>
                <w:highlight w:val="none"/>
                <w:fitText w:val="1200" w:id="1246898356"/>
              </w:rPr>
              <w:t>评标</w:t>
            </w:r>
            <w:r>
              <w:rPr>
                <w:rFonts w:hint="eastAsia" w:ascii="宋体" w:hAnsi="宋体" w:cs="宋体"/>
                <w:color w:val="auto"/>
                <w:spacing w:val="0"/>
                <w:kern w:val="0"/>
                <w:sz w:val="24"/>
                <w:highlight w:val="none"/>
                <w:fitText w:val="1200" w:id="1246898356"/>
              </w:rPr>
              <w:t>价</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0分</w:t>
            </w:r>
          </w:p>
        </w:tc>
      </w:tr>
      <w:tr w14:paraId="6D87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3" w:hRule="atLeast"/>
          <w:jc w:val="center"/>
        </w:trPr>
        <w:tc>
          <w:tcPr>
            <w:tcW w:w="1077" w:type="dxa"/>
            <w:noWrap w:val="0"/>
            <w:vAlign w:val="center"/>
          </w:tcPr>
          <w:p w14:paraId="3C0786F1">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2.2.2</w:t>
            </w:r>
          </w:p>
        </w:tc>
        <w:tc>
          <w:tcPr>
            <w:tcW w:w="1589" w:type="dxa"/>
            <w:noWrap w:val="0"/>
            <w:vAlign w:val="center"/>
          </w:tcPr>
          <w:p w14:paraId="0C999DD3">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评标基准价</w:t>
            </w:r>
          </w:p>
          <w:p w14:paraId="4112908C">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计算方法</w:t>
            </w:r>
          </w:p>
        </w:tc>
        <w:tc>
          <w:tcPr>
            <w:tcW w:w="6405" w:type="dxa"/>
            <w:noWrap w:val="0"/>
            <w:vAlign w:val="center"/>
          </w:tcPr>
          <w:p w14:paraId="006AD934">
            <w:pPr>
              <w:widowControl/>
              <w:adjustRightInd w:val="0"/>
              <w:snapToGrid w:val="0"/>
              <w:textAlignment w:val="center"/>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（1）评标价的确定：</w:t>
            </w:r>
          </w:p>
          <w:p w14:paraId="7F72CD60">
            <w:pPr>
              <w:widowControl/>
              <w:adjustRightInd w:val="0"/>
              <w:snapToGrid w:val="0"/>
              <w:textAlignment w:val="center"/>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评标价=投标函文字报价</w:t>
            </w:r>
          </w:p>
          <w:p w14:paraId="4A6CAE93">
            <w:pPr>
              <w:widowControl/>
              <w:adjustRightInd w:val="0"/>
              <w:snapToGrid w:val="0"/>
              <w:textAlignment w:val="center"/>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（2）评标价平均值的计算：</w:t>
            </w:r>
          </w:p>
          <w:p w14:paraId="258164EF">
            <w:pPr>
              <w:widowControl/>
              <w:adjustRightInd w:val="0"/>
              <w:snapToGrid w:val="0"/>
              <w:textAlignment w:val="center"/>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除按第二章“投标人须知”第5.2.</w:t>
            </w:r>
            <w:r>
              <w:rPr>
                <w:rFonts w:ascii="宋体" w:hAnsi="宋体"/>
                <w:snapToGrid w:val="0"/>
                <w:color w:val="auto"/>
                <w:kern w:val="0"/>
                <w:sz w:val="24"/>
                <w:highlight w:val="none"/>
              </w:rPr>
              <w:t>4</w:t>
            </w:r>
            <w:r>
              <w:rPr>
                <w:rFonts w:hint="eastAsia" w:ascii="宋体" w:hAnsi="宋体"/>
                <w:snapToGrid w:val="0"/>
                <w:color w:val="auto"/>
                <w:kern w:val="0"/>
                <w:sz w:val="24"/>
                <w:highlight w:val="none"/>
              </w:rPr>
              <w:t>项规定开标现场被宣布为不进入评标基准价计算的投标报价之外，所有投标人评标价的算术平均值即为评标价平均值，保留两位小数。</w:t>
            </w:r>
          </w:p>
          <w:p w14:paraId="1A889692">
            <w:pPr>
              <w:widowControl/>
              <w:adjustRightInd w:val="0"/>
              <w:snapToGrid w:val="0"/>
              <w:textAlignment w:val="center"/>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（3）评标基准价的确定：</w:t>
            </w:r>
          </w:p>
          <w:p w14:paraId="053FD35B">
            <w:pPr>
              <w:widowControl/>
              <w:adjustRightInd w:val="0"/>
              <w:snapToGrid w:val="0"/>
              <w:textAlignment w:val="center"/>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将评标价去掉n1个最高评标价和n2个最低评标价后平均值直接作为评标基准价。</w:t>
            </w:r>
          </w:p>
          <w:p w14:paraId="7FB69A9C">
            <w:pPr>
              <w:widowControl/>
              <w:adjustRightInd w:val="0"/>
              <w:snapToGrid w:val="0"/>
              <w:textAlignment w:val="center"/>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注：如果参与评标价平均值计算的投标人数量＜6家时，计算评标价平均值时去掉最高值和最低值（n1=</w:t>
            </w:r>
            <w:r>
              <w:rPr>
                <w:rFonts w:ascii="宋体" w:hAnsi="宋体"/>
                <w:snapToGrid w:val="0"/>
                <w:color w:val="auto"/>
                <w:kern w:val="0"/>
                <w:sz w:val="24"/>
                <w:highlight w:val="none"/>
              </w:rPr>
              <w:t>0</w:t>
            </w:r>
            <w:r>
              <w:rPr>
                <w:rFonts w:hint="eastAsia" w:ascii="宋体" w:hAnsi="宋体"/>
                <w:snapToGrid w:val="0"/>
                <w:color w:val="auto"/>
                <w:kern w:val="0"/>
                <w:sz w:val="24"/>
                <w:highlight w:val="none"/>
              </w:rPr>
              <w:t>，n2=</w:t>
            </w:r>
            <w:r>
              <w:rPr>
                <w:rFonts w:ascii="宋体" w:hAnsi="宋体"/>
                <w:snapToGrid w:val="0"/>
                <w:color w:val="auto"/>
                <w:kern w:val="0"/>
                <w:sz w:val="24"/>
                <w:highlight w:val="none"/>
              </w:rPr>
              <w:t>0</w:t>
            </w:r>
            <w:r>
              <w:rPr>
                <w:rFonts w:hint="eastAsia" w:ascii="宋体" w:hAnsi="宋体"/>
                <w:snapToGrid w:val="0"/>
                <w:color w:val="auto"/>
                <w:kern w:val="0"/>
                <w:sz w:val="24"/>
                <w:highlight w:val="none"/>
              </w:rPr>
              <w:t>）；参与评标价平均值计算的投标人数量≥6家时，计算评标价平均值时去掉最高值和最低值（n1=1，n2=1）。</w:t>
            </w:r>
          </w:p>
          <w:p w14:paraId="549E5636">
            <w:pPr>
              <w:adjustRightInd w:val="0"/>
              <w:snapToGrid w:val="0"/>
              <w:rPr>
                <w:rFonts w:hint="eastAsia" w:ascii="宋体" w:hAnsi="宋体" w:cs="宋体"/>
                <w:color w:val="auto"/>
                <w:sz w:val="24"/>
                <w:highlight w:val="none"/>
              </w:rPr>
            </w:pPr>
            <w:r>
              <w:rPr>
                <w:rFonts w:hint="eastAsia" w:ascii="宋体" w:hAnsi="宋体"/>
                <w:snapToGrid w:val="0"/>
                <w:color w:val="auto"/>
                <w:kern w:val="0"/>
                <w:sz w:val="24"/>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1B8D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077" w:type="dxa"/>
            <w:noWrap w:val="0"/>
            <w:vAlign w:val="center"/>
          </w:tcPr>
          <w:p w14:paraId="0D3180AB">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2.2.3</w:t>
            </w:r>
          </w:p>
        </w:tc>
        <w:tc>
          <w:tcPr>
            <w:tcW w:w="1589" w:type="dxa"/>
            <w:noWrap w:val="0"/>
            <w:vAlign w:val="center"/>
          </w:tcPr>
          <w:p w14:paraId="731615E6">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评标价的偏差率计算公式</w:t>
            </w:r>
          </w:p>
        </w:tc>
        <w:tc>
          <w:tcPr>
            <w:tcW w:w="6405" w:type="dxa"/>
            <w:noWrap w:val="0"/>
            <w:vAlign w:val="center"/>
          </w:tcPr>
          <w:p w14:paraId="1F32497A">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偏差率=100%×（投标人评标价-评标基准价）/评标基准价</w:t>
            </w:r>
          </w:p>
        </w:tc>
      </w:tr>
      <w:tr w14:paraId="0340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077" w:type="dxa"/>
            <w:noWrap w:val="0"/>
            <w:vAlign w:val="center"/>
          </w:tcPr>
          <w:p w14:paraId="7CB41E99">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3.6.1</w:t>
            </w:r>
          </w:p>
        </w:tc>
        <w:tc>
          <w:tcPr>
            <w:tcW w:w="1589" w:type="dxa"/>
            <w:noWrap w:val="0"/>
            <w:vAlign w:val="center"/>
          </w:tcPr>
          <w:p w14:paraId="72845ACD">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信息查询</w:t>
            </w:r>
          </w:p>
        </w:tc>
        <w:tc>
          <w:tcPr>
            <w:tcW w:w="6405" w:type="dxa"/>
            <w:noWrap w:val="0"/>
            <w:vAlign w:val="center"/>
          </w:tcPr>
          <w:p w14:paraId="3E3BF0CB">
            <w:pPr>
              <w:adjustRightInd w:val="0"/>
              <w:snapToGrid w:val="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本款修改为：</w:t>
            </w:r>
          </w:p>
          <w:p w14:paraId="18DEFD9D">
            <w:pPr>
              <w:adjustRightInd w:val="0"/>
              <w:snapToGrid w:val="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在评标过程中，评标委员会应对以下信息进行查询：</w:t>
            </w:r>
          </w:p>
          <w:p w14:paraId="5E232953">
            <w:pPr>
              <w:adjustRightInd w:val="0"/>
              <w:snapToGrid w:val="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投标人信用情况网页截图内容与在“国家企业信用信息公示系统”中严重违法失信名单（黑名单）信息（不含分公司）或在“信用中国”网站中失信被执行人名单、经营异常名录、税收违法黑名单、政府采购严重违法失信名单（均不含分公司）的复核结果一致。</w:t>
            </w:r>
          </w:p>
          <w:p w14:paraId="605D0BD2">
            <w:pPr>
              <w:adjustRightInd w:val="0"/>
              <w:snapToGrid w:val="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如投标人未提供相关网页截图或所附截图与复核结果不一致导致不能满足资格评审要求的，评标委员会应否决其投标。</w:t>
            </w:r>
          </w:p>
          <w:p w14:paraId="78386FA4">
            <w:pPr>
              <w:adjustRightInd w:val="0"/>
              <w:snapToGrid w:val="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14:paraId="647619CA">
            <w:pPr>
              <w:snapToGrid w:val="0"/>
              <w:rPr>
                <w:rFonts w:hint="eastAsia" w:ascii="宋体" w:hAnsi="宋体" w:cs="宋体"/>
                <w:color w:val="auto"/>
                <w:sz w:val="24"/>
                <w:highlight w:val="none"/>
              </w:rPr>
            </w:pPr>
            <w:r>
              <w:rPr>
                <w:rFonts w:hint="eastAsia" w:ascii="宋体" w:hAnsi="宋体"/>
                <w:snapToGrid w:val="0"/>
                <w:color w:val="auto"/>
                <w:kern w:val="0"/>
                <w:sz w:val="24"/>
                <w:highlight w:val="none"/>
              </w:rPr>
              <w:t>（2）在评标时按照投标人提供的验证方式对电子保函或电子保证保险进行验证。如投标人未提供电子保函或电子保证保险的验证方式，或根据提供的验证方式无法核实的，评标委员会应否决其投标。</w:t>
            </w:r>
          </w:p>
        </w:tc>
      </w:tr>
    </w:tbl>
    <w:p w14:paraId="0AD0D48B">
      <w:pPr>
        <w:rPr>
          <w:b/>
          <w:bCs/>
          <w:color w:val="auto"/>
          <w:sz w:val="24"/>
          <w:szCs w:val="32"/>
          <w:highlight w:val="none"/>
        </w:rPr>
        <w:sectPr>
          <w:pgSz w:w="11906" w:h="16838"/>
          <w:pgMar w:top="1418" w:right="1361" w:bottom="1361" w:left="1418" w:header="851" w:footer="737" w:gutter="0"/>
          <w:pgNumType w:fmt="numberInDash"/>
          <w:cols w:space="720" w:num="1"/>
          <w:docGrid w:linePitch="312" w:charSpace="0"/>
        </w:sectPr>
      </w:pPr>
      <w:bookmarkStart w:id="5" w:name="_Toc155970201"/>
      <w:bookmarkStart w:id="6" w:name="_Toc155970157"/>
    </w:p>
    <w:p w14:paraId="25FEA7DC">
      <w:pPr>
        <w:rPr>
          <w:b/>
          <w:bCs/>
          <w:color w:val="auto"/>
          <w:sz w:val="24"/>
          <w:szCs w:val="32"/>
          <w:highlight w:val="none"/>
        </w:rPr>
      </w:pPr>
      <w:r>
        <w:rPr>
          <w:rFonts w:hint="eastAsia"/>
          <w:b/>
          <w:bCs/>
          <w:color w:val="auto"/>
          <w:sz w:val="24"/>
          <w:szCs w:val="32"/>
          <w:highlight w:val="none"/>
        </w:rPr>
        <w:t>评分细则</w:t>
      </w:r>
      <w:bookmarkEnd w:id="5"/>
      <w:bookmarkEnd w:id="6"/>
    </w:p>
    <w:p w14:paraId="15A6D206">
      <w:pPr>
        <w:widowControl w:val="0"/>
        <w:spacing w:line="360" w:lineRule="auto"/>
        <w:ind w:firstLine="0" w:firstLineChars="0"/>
        <w:jc w:val="both"/>
        <w:rPr>
          <w:rFonts w:hint="eastAsia" w:ascii="宋体" w:hAnsi="宋体" w:eastAsia="宋体" w:cs="Times New Roman"/>
          <w:color w:val="auto"/>
          <w:kern w:val="2"/>
          <w:sz w:val="24"/>
          <w:szCs w:val="24"/>
          <w:highlight w:val="none"/>
          <w:lang w:val="en-US" w:eastAsia="zh-CN" w:bidi="ar-SA"/>
        </w:rPr>
      </w:pP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128"/>
        <w:gridCol w:w="1565"/>
        <w:gridCol w:w="3686"/>
        <w:gridCol w:w="1869"/>
      </w:tblGrid>
      <w:tr w14:paraId="0656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51" w:type="dxa"/>
            <w:gridSpan w:val="2"/>
            <w:noWrap w:val="0"/>
            <w:vAlign w:val="center"/>
          </w:tcPr>
          <w:p w14:paraId="19033B0A">
            <w:pPr>
              <w:jc w:val="center"/>
              <w:rPr>
                <w:rFonts w:hint="eastAsia" w:ascii="宋体" w:hAnsi="宋体" w:cs="宋体"/>
                <w:bCs/>
                <w:color w:val="auto"/>
                <w:sz w:val="24"/>
                <w:highlight w:val="none"/>
              </w:rPr>
            </w:pPr>
            <w:r>
              <w:rPr>
                <w:rFonts w:hint="eastAsia" w:ascii="宋体" w:hAnsi="宋体" w:cs="宋体"/>
                <w:bCs/>
                <w:color w:val="auto"/>
                <w:sz w:val="24"/>
                <w:highlight w:val="none"/>
              </w:rPr>
              <w:t>条款号</w:t>
            </w:r>
          </w:p>
        </w:tc>
        <w:tc>
          <w:tcPr>
            <w:tcW w:w="1565" w:type="dxa"/>
            <w:noWrap w:val="0"/>
            <w:vAlign w:val="center"/>
          </w:tcPr>
          <w:p w14:paraId="0F05BA24">
            <w:pPr>
              <w:jc w:val="center"/>
              <w:rPr>
                <w:rFonts w:hint="eastAsia" w:ascii="宋体" w:hAnsi="宋体" w:cs="宋体"/>
                <w:bCs/>
                <w:color w:val="auto"/>
                <w:sz w:val="24"/>
                <w:highlight w:val="none"/>
              </w:rPr>
            </w:pPr>
            <w:r>
              <w:rPr>
                <w:rFonts w:hint="eastAsia" w:ascii="宋体" w:hAnsi="宋体" w:cs="宋体"/>
                <w:bCs/>
                <w:color w:val="auto"/>
                <w:sz w:val="24"/>
                <w:highlight w:val="none"/>
              </w:rPr>
              <w:t>评分因素</w:t>
            </w:r>
          </w:p>
        </w:tc>
        <w:tc>
          <w:tcPr>
            <w:tcW w:w="5555" w:type="dxa"/>
            <w:gridSpan w:val="2"/>
            <w:noWrap w:val="0"/>
            <w:vAlign w:val="center"/>
          </w:tcPr>
          <w:p w14:paraId="3AB28240">
            <w:pPr>
              <w:jc w:val="center"/>
              <w:rPr>
                <w:rFonts w:hint="eastAsia" w:ascii="宋体" w:hAnsi="宋体" w:cs="宋体"/>
                <w:bCs/>
                <w:color w:val="auto"/>
                <w:sz w:val="24"/>
                <w:highlight w:val="none"/>
              </w:rPr>
            </w:pPr>
            <w:r>
              <w:rPr>
                <w:rFonts w:hint="eastAsia" w:ascii="宋体" w:hAnsi="宋体" w:cs="宋体"/>
                <w:bCs/>
                <w:color w:val="auto"/>
                <w:sz w:val="24"/>
                <w:highlight w:val="none"/>
              </w:rPr>
              <w:t>评分标准</w:t>
            </w:r>
          </w:p>
        </w:tc>
      </w:tr>
      <w:tr w14:paraId="5D42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restart"/>
            <w:noWrap w:val="0"/>
            <w:vAlign w:val="center"/>
          </w:tcPr>
          <w:p w14:paraId="4F04A8B8">
            <w:pPr>
              <w:jc w:val="center"/>
              <w:rPr>
                <w:rFonts w:hint="eastAsia" w:ascii="宋体" w:hAnsi="宋体" w:cs="宋体"/>
                <w:bCs/>
                <w:color w:val="auto"/>
                <w:sz w:val="24"/>
                <w:highlight w:val="none"/>
              </w:rPr>
            </w:pPr>
            <w:r>
              <w:rPr>
                <w:rFonts w:hint="eastAsia" w:ascii="宋体" w:hAnsi="宋体" w:cs="宋体"/>
                <w:bCs/>
                <w:color w:val="auto"/>
                <w:sz w:val="24"/>
                <w:highlight w:val="none"/>
              </w:rPr>
              <w:t>2.2.4（1）</w:t>
            </w:r>
          </w:p>
        </w:tc>
        <w:tc>
          <w:tcPr>
            <w:tcW w:w="1128" w:type="dxa"/>
            <w:vMerge w:val="restart"/>
            <w:noWrap w:val="0"/>
            <w:vAlign w:val="center"/>
          </w:tcPr>
          <w:p w14:paraId="6F0B6C7F">
            <w:pPr>
              <w:jc w:val="center"/>
              <w:rPr>
                <w:rFonts w:ascii="宋体" w:hAnsi="宋体" w:cs="宋体"/>
                <w:bCs/>
                <w:color w:val="auto"/>
                <w:sz w:val="24"/>
                <w:highlight w:val="none"/>
              </w:rPr>
            </w:pPr>
            <w:r>
              <w:rPr>
                <w:rFonts w:hint="eastAsia" w:ascii="宋体" w:hAnsi="宋体" w:cs="宋体"/>
                <w:bCs/>
                <w:color w:val="auto"/>
                <w:sz w:val="24"/>
                <w:highlight w:val="none"/>
              </w:rPr>
              <w:t>服务</w:t>
            </w:r>
          </w:p>
          <w:p w14:paraId="1B00ABC0">
            <w:pPr>
              <w:jc w:val="center"/>
              <w:rPr>
                <w:rFonts w:hint="eastAsia" w:ascii="宋体" w:hAnsi="宋体" w:cs="宋体"/>
                <w:bCs/>
                <w:color w:val="auto"/>
                <w:sz w:val="24"/>
                <w:highlight w:val="none"/>
              </w:rPr>
            </w:pPr>
            <w:r>
              <w:rPr>
                <w:rFonts w:hint="eastAsia" w:ascii="宋体" w:hAnsi="宋体" w:cs="宋体"/>
                <w:bCs/>
                <w:color w:val="auto"/>
                <w:sz w:val="24"/>
                <w:highlight w:val="none"/>
              </w:rPr>
              <w:t>方案</w:t>
            </w:r>
          </w:p>
          <w:p w14:paraId="0EE6D882">
            <w:pPr>
              <w:jc w:val="center"/>
              <w:rPr>
                <w:rFonts w:hint="eastAsia" w:ascii="宋体" w:hAnsi="宋体" w:cs="宋体"/>
                <w:bCs/>
                <w:color w:val="auto"/>
                <w:sz w:val="24"/>
                <w:highlight w:val="none"/>
              </w:rPr>
            </w:pPr>
            <w:r>
              <w:rPr>
                <w:rFonts w:hint="eastAsia" w:ascii="宋体" w:hAnsi="宋体" w:cs="宋体"/>
                <w:bCs/>
                <w:color w:val="auto"/>
                <w:sz w:val="24"/>
                <w:highlight w:val="none"/>
              </w:rPr>
              <w:t>（50分）</w:t>
            </w:r>
          </w:p>
        </w:tc>
        <w:tc>
          <w:tcPr>
            <w:tcW w:w="1565" w:type="dxa"/>
            <w:vMerge w:val="restart"/>
            <w:noWrap w:val="0"/>
            <w:vAlign w:val="center"/>
          </w:tcPr>
          <w:p w14:paraId="3287C04E">
            <w:pPr>
              <w:jc w:val="center"/>
              <w:rPr>
                <w:rFonts w:hint="eastAsia" w:ascii="宋体" w:hAnsi="宋体" w:cs="宋体"/>
                <w:bCs/>
                <w:color w:val="auto"/>
                <w:spacing w:val="29"/>
                <w:sz w:val="24"/>
                <w:highlight w:val="none"/>
              </w:rPr>
            </w:pPr>
            <w:r>
              <w:rPr>
                <w:rFonts w:hint="eastAsia" w:ascii="宋体" w:hAnsi="宋体" w:cs="宋体"/>
                <w:bCs/>
                <w:color w:val="auto"/>
                <w:spacing w:val="29"/>
                <w:sz w:val="24"/>
                <w:highlight w:val="none"/>
              </w:rPr>
              <w:t>整体服务方案</w:t>
            </w:r>
          </w:p>
          <w:p w14:paraId="2F0584B7">
            <w:pPr>
              <w:jc w:val="center"/>
              <w:rPr>
                <w:rFonts w:hint="eastAsia" w:ascii="宋体" w:hAnsi="宋体" w:cs="宋体"/>
                <w:bCs/>
                <w:color w:val="auto"/>
                <w:sz w:val="24"/>
                <w:highlight w:val="none"/>
              </w:rPr>
            </w:pPr>
            <w:r>
              <w:rPr>
                <w:rFonts w:hint="eastAsia" w:ascii="宋体" w:hAnsi="宋体" w:cs="宋体"/>
                <w:bCs/>
                <w:color w:val="auto"/>
                <w:spacing w:val="29"/>
                <w:sz w:val="24"/>
                <w:highlight w:val="none"/>
              </w:rPr>
              <w:t>（5分）</w:t>
            </w:r>
          </w:p>
        </w:tc>
        <w:tc>
          <w:tcPr>
            <w:tcW w:w="3686" w:type="dxa"/>
            <w:noWrap w:val="0"/>
            <w:vAlign w:val="center"/>
          </w:tcPr>
          <w:p w14:paraId="1362CBCC">
            <w:pPr>
              <w:rPr>
                <w:rFonts w:hint="eastAsia" w:ascii="宋体" w:hAnsi="宋体" w:cs="宋体"/>
                <w:bCs/>
                <w:color w:val="auto"/>
                <w:sz w:val="24"/>
                <w:highlight w:val="none"/>
              </w:rPr>
            </w:pPr>
            <w:r>
              <w:rPr>
                <w:rFonts w:hint="eastAsia" w:ascii="宋体" w:hAnsi="宋体" w:cs="宋体"/>
                <w:bCs/>
                <w:color w:val="auto"/>
                <w:spacing w:val="-14"/>
                <w:sz w:val="24"/>
                <w:highlight w:val="none"/>
              </w:rPr>
              <w:t>方案明确详尽，具体完善，科学合理，与本项目的实</w:t>
            </w:r>
            <w:r>
              <w:rPr>
                <w:rFonts w:hint="eastAsia" w:ascii="宋体" w:hAnsi="宋体" w:cs="宋体"/>
                <w:bCs/>
                <w:color w:val="auto"/>
                <w:spacing w:val="-10"/>
                <w:sz w:val="24"/>
                <w:highlight w:val="none"/>
              </w:rPr>
              <w:t>际情</w:t>
            </w:r>
            <w:r>
              <w:rPr>
                <w:rFonts w:hint="eastAsia" w:ascii="宋体" w:hAnsi="宋体" w:cs="宋体"/>
                <w:bCs/>
                <w:color w:val="auto"/>
                <w:spacing w:val="-9"/>
                <w:sz w:val="24"/>
                <w:highlight w:val="none"/>
              </w:rPr>
              <w:t>况</w:t>
            </w:r>
            <w:r>
              <w:rPr>
                <w:rFonts w:hint="eastAsia" w:ascii="宋体" w:hAnsi="宋体" w:cs="宋体"/>
                <w:bCs/>
                <w:color w:val="auto"/>
                <w:spacing w:val="-5"/>
                <w:sz w:val="24"/>
                <w:highlight w:val="none"/>
              </w:rPr>
              <w:t>契合度高、针对性和操作性强</w:t>
            </w:r>
          </w:p>
        </w:tc>
        <w:tc>
          <w:tcPr>
            <w:tcW w:w="1869" w:type="dxa"/>
            <w:noWrap w:val="0"/>
            <w:vAlign w:val="center"/>
          </w:tcPr>
          <w:p w14:paraId="48C86BDF">
            <w:pPr>
              <w:widowControl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w:t>
            </w:r>
            <w:r>
              <w:rPr>
                <w:rFonts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en-US" w:eastAsia="zh-CN" w:bidi="ar-SA"/>
              </w:rPr>
              <w:t>-5</w:t>
            </w:r>
            <w:r>
              <w:rPr>
                <w:rFonts w:ascii="宋体" w:hAnsi="宋体" w:eastAsia="宋体" w:cs="宋体"/>
                <w:bCs/>
                <w:color w:val="auto"/>
                <w:kern w:val="2"/>
                <w:sz w:val="24"/>
                <w:szCs w:val="24"/>
                <w:highlight w:val="none"/>
                <w:lang w:val="en-US" w:eastAsia="zh-CN" w:bidi="ar-SA"/>
              </w:rPr>
              <w:t>.0</w:t>
            </w:r>
          </w:p>
        </w:tc>
      </w:tr>
      <w:tr w14:paraId="61F9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7B20264B">
            <w:pPr>
              <w:jc w:val="center"/>
              <w:rPr>
                <w:rFonts w:hint="eastAsia" w:ascii="宋体" w:hAnsi="宋体" w:cs="宋体"/>
                <w:bCs/>
                <w:color w:val="auto"/>
                <w:sz w:val="24"/>
                <w:highlight w:val="none"/>
              </w:rPr>
            </w:pPr>
          </w:p>
        </w:tc>
        <w:tc>
          <w:tcPr>
            <w:tcW w:w="1128" w:type="dxa"/>
            <w:vMerge w:val="continue"/>
            <w:noWrap w:val="0"/>
            <w:vAlign w:val="center"/>
          </w:tcPr>
          <w:p w14:paraId="3AFF5C04">
            <w:pPr>
              <w:jc w:val="center"/>
              <w:rPr>
                <w:rFonts w:hint="eastAsia" w:ascii="宋体" w:hAnsi="宋体" w:cs="宋体"/>
                <w:bCs/>
                <w:color w:val="auto"/>
                <w:sz w:val="24"/>
                <w:highlight w:val="none"/>
              </w:rPr>
            </w:pPr>
          </w:p>
        </w:tc>
        <w:tc>
          <w:tcPr>
            <w:tcW w:w="1565" w:type="dxa"/>
            <w:vMerge w:val="continue"/>
            <w:noWrap w:val="0"/>
            <w:vAlign w:val="center"/>
          </w:tcPr>
          <w:p w14:paraId="6FC62862">
            <w:pPr>
              <w:jc w:val="center"/>
              <w:rPr>
                <w:rFonts w:hint="eastAsia" w:ascii="宋体" w:hAnsi="宋体" w:cs="宋体"/>
                <w:bCs/>
                <w:color w:val="auto"/>
                <w:sz w:val="24"/>
                <w:highlight w:val="none"/>
              </w:rPr>
            </w:pPr>
          </w:p>
        </w:tc>
        <w:tc>
          <w:tcPr>
            <w:tcW w:w="3686" w:type="dxa"/>
            <w:noWrap w:val="0"/>
            <w:vAlign w:val="center"/>
          </w:tcPr>
          <w:p w14:paraId="74FE0C28">
            <w:pPr>
              <w:rPr>
                <w:rFonts w:hint="eastAsia" w:ascii="宋体" w:hAnsi="宋体" w:cs="宋体"/>
                <w:bCs/>
                <w:color w:val="auto"/>
                <w:sz w:val="24"/>
                <w:highlight w:val="none"/>
              </w:rPr>
            </w:pPr>
            <w:r>
              <w:rPr>
                <w:rFonts w:hint="eastAsia" w:ascii="宋体" w:hAnsi="宋体" w:cs="宋体"/>
                <w:bCs/>
                <w:color w:val="auto"/>
                <w:spacing w:val="-10"/>
                <w:sz w:val="24"/>
                <w:highlight w:val="none"/>
              </w:rPr>
              <w:t>方案较明确、较具体， 合理可行，与本项目的实际情</w:t>
            </w:r>
            <w:r>
              <w:rPr>
                <w:rFonts w:hint="eastAsia" w:ascii="宋体" w:hAnsi="宋体" w:cs="宋体"/>
                <w:bCs/>
                <w:color w:val="auto"/>
                <w:spacing w:val="-24"/>
                <w:sz w:val="24"/>
                <w:highlight w:val="none"/>
              </w:rPr>
              <w:t>况</w:t>
            </w:r>
            <w:r>
              <w:rPr>
                <w:rFonts w:hint="eastAsia" w:ascii="宋体" w:hAnsi="宋体" w:cs="宋体"/>
                <w:bCs/>
                <w:color w:val="auto"/>
                <w:spacing w:val="-15"/>
                <w:sz w:val="24"/>
                <w:highlight w:val="none"/>
              </w:rPr>
              <w:t>契</w:t>
            </w:r>
            <w:r>
              <w:rPr>
                <w:rFonts w:hint="eastAsia" w:ascii="宋体" w:hAnsi="宋体" w:cs="宋体"/>
                <w:bCs/>
                <w:color w:val="auto"/>
                <w:spacing w:val="-12"/>
                <w:sz w:val="24"/>
                <w:highlight w:val="none"/>
              </w:rPr>
              <w:t>合度较高，可操作</w:t>
            </w:r>
          </w:p>
        </w:tc>
        <w:tc>
          <w:tcPr>
            <w:tcW w:w="1869" w:type="dxa"/>
            <w:noWrap w:val="0"/>
            <w:vAlign w:val="center"/>
          </w:tcPr>
          <w:p w14:paraId="30661B6F">
            <w:pPr>
              <w:widowControl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w:t>
            </w:r>
            <w:r>
              <w:rPr>
                <w:rFonts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en-US" w:eastAsia="zh-CN" w:bidi="ar-SA"/>
              </w:rPr>
              <w:t>-4</w:t>
            </w:r>
            <w:r>
              <w:rPr>
                <w:rFonts w:ascii="宋体" w:hAnsi="宋体" w:eastAsia="宋体" w:cs="宋体"/>
                <w:bCs/>
                <w:color w:val="auto"/>
                <w:kern w:val="2"/>
                <w:sz w:val="24"/>
                <w:szCs w:val="24"/>
                <w:highlight w:val="none"/>
                <w:lang w:val="en-US" w:eastAsia="zh-CN" w:bidi="ar-SA"/>
              </w:rPr>
              <w:t>.0</w:t>
            </w:r>
          </w:p>
        </w:tc>
      </w:tr>
      <w:tr w14:paraId="0C3F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26F26D7D">
            <w:pPr>
              <w:jc w:val="center"/>
              <w:rPr>
                <w:rFonts w:hint="eastAsia" w:ascii="宋体" w:hAnsi="宋体" w:cs="宋体"/>
                <w:bCs/>
                <w:color w:val="auto"/>
                <w:sz w:val="24"/>
                <w:highlight w:val="none"/>
              </w:rPr>
            </w:pPr>
          </w:p>
        </w:tc>
        <w:tc>
          <w:tcPr>
            <w:tcW w:w="1128" w:type="dxa"/>
            <w:vMerge w:val="continue"/>
            <w:noWrap w:val="0"/>
            <w:vAlign w:val="center"/>
          </w:tcPr>
          <w:p w14:paraId="74BE7EDB">
            <w:pPr>
              <w:jc w:val="center"/>
              <w:rPr>
                <w:rFonts w:hint="eastAsia" w:ascii="宋体" w:hAnsi="宋体" w:cs="宋体"/>
                <w:bCs/>
                <w:color w:val="auto"/>
                <w:sz w:val="24"/>
                <w:highlight w:val="none"/>
              </w:rPr>
            </w:pPr>
          </w:p>
        </w:tc>
        <w:tc>
          <w:tcPr>
            <w:tcW w:w="1565" w:type="dxa"/>
            <w:vMerge w:val="continue"/>
            <w:noWrap w:val="0"/>
            <w:vAlign w:val="center"/>
          </w:tcPr>
          <w:p w14:paraId="146CBBFA">
            <w:pPr>
              <w:jc w:val="center"/>
              <w:rPr>
                <w:rFonts w:hint="eastAsia" w:ascii="宋体" w:hAnsi="宋体" w:cs="宋体"/>
                <w:bCs/>
                <w:color w:val="auto"/>
                <w:sz w:val="24"/>
                <w:highlight w:val="none"/>
              </w:rPr>
            </w:pPr>
          </w:p>
        </w:tc>
        <w:tc>
          <w:tcPr>
            <w:tcW w:w="3686" w:type="dxa"/>
            <w:noWrap w:val="0"/>
            <w:vAlign w:val="center"/>
          </w:tcPr>
          <w:p w14:paraId="375EE308">
            <w:pPr>
              <w:rPr>
                <w:rFonts w:hint="eastAsia" w:ascii="宋体" w:hAnsi="宋体" w:cs="宋体"/>
                <w:bCs/>
                <w:color w:val="auto"/>
                <w:sz w:val="24"/>
                <w:highlight w:val="none"/>
              </w:rPr>
            </w:pPr>
            <w:r>
              <w:rPr>
                <w:rFonts w:hint="eastAsia" w:ascii="宋体" w:hAnsi="宋体" w:cs="宋体"/>
                <w:bCs/>
                <w:color w:val="auto"/>
                <w:spacing w:val="-1"/>
                <w:sz w:val="24"/>
                <w:highlight w:val="none"/>
              </w:rPr>
              <w:t>基本满足招标文件及项目要求</w:t>
            </w:r>
          </w:p>
        </w:tc>
        <w:tc>
          <w:tcPr>
            <w:tcW w:w="1869" w:type="dxa"/>
            <w:noWrap w:val="0"/>
            <w:vAlign w:val="center"/>
          </w:tcPr>
          <w:p w14:paraId="741E2B32">
            <w:pPr>
              <w:jc w:val="center"/>
              <w:rPr>
                <w:rFonts w:hint="eastAsia"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.0</w:t>
            </w:r>
          </w:p>
        </w:tc>
      </w:tr>
      <w:tr w14:paraId="5629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184581C4">
            <w:pPr>
              <w:jc w:val="center"/>
              <w:rPr>
                <w:rFonts w:hint="eastAsia" w:ascii="宋体" w:hAnsi="宋体" w:cs="宋体"/>
                <w:bCs/>
                <w:color w:val="auto"/>
                <w:sz w:val="24"/>
                <w:highlight w:val="none"/>
              </w:rPr>
            </w:pPr>
          </w:p>
        </w:tc>
        <w:tc>
          <w:tcPr>
            <w:tcW w:w="1128" w:type="dxa"/>
            <w:vMerge w:val="continue"/>
            <w:noWrap w:val="0"/>
            <w:vAlign w:val="center"/>
          </w:tcPr>
          <w:p w14:paraId="1A4C254E">
            <w:pPr>
              <w:jc w:val="center"/>
              <w:rPr>
                <w:rFonts w:hint="eastAsia" w:ascii="宋体" w:hAnsi="宋体" w:cs="宋体"/>
                <w:bCs/>
                <w:color w:val="auto"/>
                <w:sz w:val="24"/>
                <w:highlight w:val="none"/>
              </w:rPr>
            </w:pPr>
          </w:p>
        </w:tc>
        <w:tc>
          <w:tcPr>
            <w:tcW w:w="1565" w:type="dxa"/>
            <w:vMerge w:val="restart"/>
            <w:noWrap w:val="0"/>
            <w:vAlign w:val="center"/>
          </w:tcPr>
          <w:p w14:paraId="1A095E1C">
            <w:pPr>
              <w:jc w:val="center"/>
              <w:rPr>
                <w:rFonts w:hint="eastAsia" w:ascii="宋体" w:hAnsi="宋体" w:cs="宋体"/>
                <w:bCs/>
                <w:color w:val="auto"/>
                <w:sz w:val="24"/>
                <w:highlight w:val="none"/>
              </w:rPr>
            </w:pPr>
            <w:r>
              <w:rPr>
                <w:rFonts w:hint="eastAsia" w:ascii="宋体" w:hAnsi="宋体" w:cs="宋体"/>
                <w:bCs/>
                <w:color w:val="auto"/>
                <w:sz w:val="24"/>
                <w:highlight w:val="none"/>
              </w:rPr>
              <w:t>保洁及绿化</w:t>
            </w:r>
          </w:p>
          <w:p w14:paraId="78C61B28">
            <w:pPr>
              <w:jc w:val="center"/>
              <w:rPr>
                <w:rFonts w:hint="eastAsia" w:ascii="宋体" w:hAnsi="宋体" w:cs="宋体"/>
                <w:bCs/>
                <w:color w:val="auto"/>
                <w:sz w:val="24"/>
                <w:highlight w:val="none"/>
              </w:rPr>
            </w:pPr>
            <w:r>
              <w:rPr>
                <w:rFonts w:hint="eastAsia" w:ascii="宋体" w:hAnsi="宋体" w:cs="宋体"/>
                <w:bCs/>
                <w:color w:val="auto"/>
                <w:sz w:val="24"/>
                <w:highlight w:val="none"/>
              </w:rPr>
              <w:t>服务方案</w:t>
            </w:r>
          </w:p>
          <w:p w14:paraId="7C4BA3EE">
            <w:pPr>
              <w:jc w:val="center"/>
              <w:rPr>
                <w:rFonts w:hint="eastAsia" w:ascii="宋体" w:hAnsi="宋体" w:cs="宋体"/>
                <w:bCs/>
                <w:color w:val="auto"/>
                <w:sz w:val="24"/>
                <w:highlight w:val="none"/>
              </w:rPr>
            </w:pPr>
            <w:r>
              <w:rPr>
                <w:rFonts w:hint="eastAsia" w:ascii="宋体" w:hAnsi="宋体" w:cs="宋体"/>
                <w:bCs/>
                <w:color w:val="auto"/>
                <w:sz w:val="24"/>
                <w:highlight w:val="none"/>
              </w:rPr>
              <w:t>（10分）</w:t>
            </w:r>
          </w:p>
        </w:tc>
        <w:tc>
          <w:tcPr>
            <w:tcW w:w="3686" w:type="dxa"/>
            <w:noWrap w:val="0"/>
            <w:vAlign w:val="center"/>
          </w:tcPr>
          <w:p w14:paraId="445BAE4B">
            <w:pPr>
              <w:rPr>
                <w:rFonts w:hint="eastAsia" w:ascii="宋体" w:hAnsi="宋体" w:cs="宋体"/>
                <w:bCs/>
                <w:color w:val="auto"/>
                <w:sz w:val="24"/>
                <w:highlight w:val="none"/>
              </w:rPr>
            </w:pPr>
            <w:r>
              <w:rPr>
                <w:rFonts w:hint="eastAsia" w:ascii="宋体" w:hAnsi="宋体" w:cs="宋体"/>
                <w:bCs/>
                <w:color w:val="auto"/>
                <w:spacing w:val="-14"/>
                <w:sz w:val="24"/>
                <w:highlight w:val="none"/>
              </w:rPr>
              <w:t>方案明确详尽，具体完善，科学合理，与本项目的实</w:t>
            </w:r>
            <w:r>
              <w:rPr>
                <w:rFonts w:hint="eastAsia" w:ascii="宋体" w:hAnsi="宋体" w:cs="宋体"/>
                <w:bCs/>
                <w:color w:val="auto"/>
                <w:spacing w:val="-10"/>
                <w:sz w:val="24"/>
                <w:highlight w:val="none"/>
              </w:rPr>
              <w:t>际情</w:t>
            </w:r>
            <w:r>
              <w:rPr>
                <w:rFonts w:hint="eastAsia" w:ascii="宋体" w:hAnsi="宋体" w:cs="宋体"/>
                <w:bCs/>
                <w:color w:val="auto"/>
                <w:spacing w:val="-9"/>
                <w:sz w:val="24"/>
                <w:highlight w:val="none"/>
              </w:rPr>
              <w:t>况</w:t>
            </w:r>
            <w:r>
              <w:rPr>
                <w:rFonts w:hint="eastAsia" w:ascii="宋体" w:hAnsi="宋体" w:cs="宋体"/>
                <w:bCs/>
                <w:color w:val="auto"/>
                <w:spacing w:val="-5"/>
                <w:sz w:val="24"/>
                <w:highlight w:val="none"/>
              </w:rPr>
              <w:t>契合度高、针对性和操作性强</w:t>
            </w:r>
          </w:p>
        </w:tc>
        <w:tc>
          <w:tcPr>
            <w:tcW w:w="1869" w:type="dxa"/>
            <w:noWrap w:val="0"/>
            <w:vAlign w:val="center"/>
          </w:tcPr>
          <w:p w14:paraId="18910CE3">
            <w:pPr>
              <w:widowControl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8</w:t>
            </w:r>
            <w:r>
              <w:rPr>
                <w:rFonts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en-US" w:eastAsia="zh-CN" w:bidi="ar-SA"/>
              </w:rPr>
              <w:t>-10</w:t>
            </w:r>
            <w:r>
              <w:rPr>
                <w:rFonts w:ascii="宋体" w:hAnsi="宋体" w:eastAsia="宋体" w:cs="宋体"/>
                <w:bCs/>
                <w:color w:val="auto"/>
                <w:kern w:val="2"/>
                <w:sz w:val="24"/>
                <w:szCs w:val="24"/>
                <w:highlight w:val="none"/>
                <w:lang w:val="en-US" w:eastAsia="zh-CN" w:bidi="ar-SA"/>
              </w:rPr>
              <w:t>.0</w:t>
            </w:r>
          </w:p>
        </w:tc>
      </w:tr>
      <w:tr w14:paraId="41E6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708A35AB">
            <w:pPr>
              <w:jc w:val="center"/>
              <w:rPr>
                <w:rFonts w:hint="eastAsia" w:ascii="宋体" w:hAnsi="宋体" w:cs="宋体"/>
                <w:bCs/>
                <w:color w:val="auto"/>
                <w:sz w:val="24"/>
                <w:highlight w:val="none"/>
              </w:rPr>
            </w:pPr>
          </w:p>
        </w:tc>
        <w:tc>
          <w:tcPr>
            <w:tcW w:w="1128" w:type="dxa"/>
            <w:vMerge w:val="continue"/>
            <w:noWrap w:val="0"/>
            <w:vAlign w:val="center"/>
          </w:tcPr>
          <w:p w14:paraId="171BB15C">
            <w:pPr>
              <w:jc w:val="center"/>
              <w:rPr>
                <w:rFonts w:hint="eastAsia" w:ascii="宋体" w:hAnsi="宋体" w:cs="宋体"/>
                <w:bCs/>
                <w:color w:val="auto"/>
                <w:sz w:val="24"/>
                <w:highlight w:val="none"/>
              </w:rPr>
            </w:pPr>
          </w:p>
        </w:tc>
        <w:tc>
          <w:tcPr>
            <w:tcW w:w="1565" w:type="dxa"/>
            <w:vMerge w:val="continue"/>
            <w:noWrap w:val="0"/>
            <w:vAlign w:val="center"/>
          </w:tcPr>
          <w:p w14:paraId="168EBEBE">
            <w:pPr>
              <w:jc w:val="center"/>
              <w:rPr>
                <w:rFonts w:hint="eastAsia" w:ascii="宋体" w:hAnsi="宋体" w:cs="宋体"/>
                <w:bCs/>
                <w:color w:val="auto"/>
                <w:sz w:val="24"/>
                <w:highlight w:val="none"/>
              </w:rPr>
            </w:pPr>
          </w:p>
        </w:tc>
        <w:tc>
          <w:tcPr>
            <w:tcW w:w="3686" w:type="dxa"/>
            <w:noWrap w:val="0"/>
            <w:vAlign w:val="center"/>
          </w:tcPr>
          <w:p w14:paraId="3B1F8674">
            <w:pPr>
              <w:rPr>
                <w:rFonts w:hint="eastAsia" w:ascii="宋体" w:hAnsi="宋体" w:cs="宋体"/>
                <w:bCs/>
                <w:color w:val="auto"/>
                <w:sz w:val="24"/>
                <w:highlight w:val="none"/>
              </w:rPr>
            </w:pPr>
            <w:r>
              <w:rPr>
                <w:rFonts w:hint="eastAsia" w:ascii="宋体" w:hAnsi="宋体" w:cs="宋体"/>
                <w:bCs/>
                <w:color w:val="auto"/>
                <w:spacing w:val="-10"/>
                <w:sz w:val="24"/>
                <w:highlight w:val="none"/>
              </w:rPr>
              <w:t>方案较明确、较具体，合理可行，与本项目的实际情</w:t>
            </w:r>
            <w:r>
              <w:rPr>
                <w:rFonts w:hint="eastAsia" w:ascii="宋体" w:hAnsi="宋体" w:cs="宋体"/>
                <w:bCs/>
                <w:color w:val="auto"/>
                <w:spacing w:val="-24"/>
                <w:sz w:val="24"/>
                <w:highlight w:val="none"/>
              </w:rPr>
              <w:t>况</w:t>
            </w:r>
            <w:r>
              <w:rPr>
                <w:rFonts w:hint="eastAsia" w:ascii="宋体" w:hAnsi="宋体" w:cs="宋体"/>
                <w:bCs/>
                <w:color w:val="auto"/>
                <w:spacing w:val="-15"/>
                <w:sz w:val="24"/>
                <w:highlight w:val="none"/>
              </w:rPr>
              <w:t>契</w:t>
            </w:r>
            <w:r>
              <w:rPr>
                <w:rFonts w:hint="eastAsia" w:ascii="宋体" w:hAnsi="宋体" w:cs="宋体"/>
                <w:bCs/>
                <w:color w:val="auto"/>
                <w:spacing w:val="-12"/>
                <w:sz w:val="24"/>
                <w:highlight w:val="none"/>
              </w:rPr>
              <w:t>合度较高，可操作</w:t>
            </w:r>
          </w:p>
        </w:tc>
        <w:tc>
          <w:tcPr>
            <w:tcW w:w="1869" w:type="dxa"/>
            <w:noWrap w:val="0"/>
            <w:vAlign w:val="center"/>
          </w:tcPr>
          <w:p w14:paraId="51060A6C">
            <w:pPr>
              <w:widowControl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w:t>
            </w:r>
            <w:r>
              <w:rPr>
                <w:rFonts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en-US" w:eastAsia="zh-CN" w:bidi="ar-SA"/>
              </w:rPr>
              <w:t>-8</w:t>
            </w:r>
            <w:r>
              <w:rPr>
                <w:rFonts w:ascii="宋体" w:hAnsi="宋体" w:eastAsia="宋体" w:cs="宋体"/>
                <w:bCs/>
                <w:color w:val="auto"/>
                <w:kern w:val="2"/>
                <w:sz w:val="24"/>
                <w:szCs w:val="24"/>
                <w:highlight w:val="none"/>
                <w:lang w:val="en-US" w:eastAsia="zh-CN" w:bidi="ar-SA"/>
              </w:rPr>
              <w:t>.0</w:t>
            </w:r>
          </w:p>
        </w:tc>
      </w:tr>
      <w:tr w14:paraId="6D0A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42A8C122">
            <w:pPr>
              <w:jc w:val="center"/>
              <w:rPr>
                <w:rFonts w:hint="eastAsia" w:ascii="宋体" w:hAnsi="宋体" w:cs="宋体"/>
                <w:bCs/>
                <w:color w:val="auto"/>
                <w:sz w:val="24"/>
                <w:highlight w:val="none"/>
              </w:rPr>
            </w:pPr>
          </w:p>
        </w:tc>
        <w:tc>
          <w:tcPr>
            <w:tcW w:w="1128" w:type="dxa"/>
            <w:vMerge w:val="continue"/>
            <w:noWrap w:val="0"/>
            <w:vAlign w:val="center"/>
          </w:tcPr>
          <w:p w14:paraId="0F9C4A49">
            <w:pPr>
              <w:jc w:val="center"/>
              <w:rPr>
                <w:rFonts w:hint="eastAsia" w:ascii="宋体" w:hAnsi="宋体" w:cs="宋体"/>
                <w:bCs/>
                <w:color w:val="auto"/>
                <w:sz w:val="24"/>
                <w:highlight w:val="none"/>
              </w:rPr>
            </w:pPr>
          </w:p>
        </w:tc>
        <w:tc>
          <w:tcPr>
            <w:tcW w:w="1565" w:type="dxa"/>
            <w:vMerge w:val="continue"/>
            <w:noWrap w:val="0"/>
            <w:vAlign w:val="center"/>
          </w:tcPr>
          <w:p w14:paraId="36A6E30D">
            <w:pPr>
              <w:jc w:val="center"/>
              <w:rPr>
                <w:rFonts w:hint="eastAsia" w:ascii="宋体" w:hAnsi="宋体" w:cs="宋体"/>
                <w:bCs/>
                <w:color w:val="auto"/>
                <w:sz w:val="24"/>
                <w:highlight w:val="none"/>
              </w:rPr>
            </w:pPr>
          </w:p>
        </w:tc>
        <w:tc>
          <w:tcPr>
            <w:tcW w:w="3686" w:type="dxa"/>
            <w:noWrap w:val="0"/>
            <w:vAlign w:val="center"/>
          </w:tcPr>
          <w:p w14:paraId="7CE186BC">
            <w:pPr>
              <w:rPr>
                <w:rFonts w:hint="eastAsia" w:ascii="宋体" w:hAnsi="宋体" w:cs="宋体"/>
                <w:bCs/>
                <w:color w:val="auto"/>
                <w:sz w:val="24"/>
                <w:highlight w:val="none"/>
              </w:rPr>
            </w:pPr>
            <w:r>
              <w:rPr>
                <w:rFonts w:hint="eastAsia" w:ascii="宋体" w:hAnsi="宋体" w:cs="宋体"/>
                <w:bCs/>
                <w:color w:val="auto"/>
                <w:spacing w:val="-1"/>
                <w:sz w:val="24"/>
                <w:highlight w:val="none"/>
              </w:rPr>
              <w:t>基本满足招标文件及项目要求</w:t>
            </w:r>
          </w:p>
        </w:tc>
        <w:tc>
          <w:tcPr>
            <w:tcW w:w="1869" w:type="dxa"/>
            <w:noWrap w:val="0"/>
            <w:vAlign w:val="center"/>
          </w:tcPr>
          <w:p w14:paraId="7FEF42EF">
            <w:pPr>
              <w:widowControl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w:t>
            </w:r>
            <w:r>
              <w:rPr>
                <w:rFonts w:ascii="宋体" w:hAnsi="宋体" w:eastAsia="宋体" w:cs="宋体"/>
                <w:bCs/>
                <w:color w:val="auto"/>
                <w:kern w:val="2"/>
                <w:sz w:val="24"/>
                <w:szCs w:val="24"/>
                <w:highlight w:val="none"/>
                <w:lang w:val="en-US" w:eastAsia="zh-CN" w:bidi="ar-SA"/>
              </w:rPr>
              <w:t>.0</w:t>
            </w:r>
          </w:p>
        </w:tc>
      </w:tr>
      <w:tr w14:paraId="275B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6BECC613">
            <w:pPr>
              <w:jc w:val="center"/>
              <w:rPr>
                <w:rFonts w:hint="eastAsia" w:ascii="宋体" w:hAnsi="宋体" w:cs="宋体"/>
                <w:bCs/>
                <w:color w:val="auto"/>
                <w:sz w:val="24"/>
                <w:highlight w:val="none"/>
              </w:rPr>
            </w:pPr>
          </w:p>
        </w:tc>
        <w:tc>
          <w:tcPr>
            <w:tcW w:w="1128" w:type="dxa"/>
            <w:vMerge w:val="continue"/>
            <w:noWrap w:val="0"/>
            <w:vAlign w:val="center"/>
          </w:tcPr>
          <w:p w14:paraId="18CCBD09">
            <w:pPr>
              <w:jc w:val="center"/>
              <w:rPr>
                <w:rFonts w:hint="eastAsia" w:ascii="宋体" w:hAnsi="宋体" w:cs="宋体"/>
                <w:bCs/>
                <w:color w:val="auto"/>
                <w:sz w:val="24"/>
                <w:highlight w:val="none"/>
              </w:rPr>
            </w:pPr>
          </w:p>
        </w:tc>
        <w:tc>
          <w:tcPr>
            <w:tcW w:w="1565" w:type="dxa"/>
            <w:vMerge w:val="restart"/>
            <w:noWrap w:val="0"/>
            <w:vAlign w:val="center"/>
          </w:tcPr>
          <w:p w14:paraId="5D04C1BA">
            <w:pPr>
              <w:jc w:val="center"/>
              <w:rPr>
                <w:rFonts w:ascii="宋体" w:hAnsi="宋体" w:cs="宋体"/>
                <w:bCs/>
                <w:color w:val="auto"/>
                <w:sz w:val="24"/>
                <w:highlight w:val="none"/>
              </w:rPr>
            </w:pPr>
            <w:r>
              <w:rPr>
                <w:rFonts w:hint="eastAsia" w:ascii="宋体" w:hAnsi="宋体" w:cs="宋体"/>
                <w:bCs/>
                <w:color w:val="auto"/>
                <w:sz w:val="24"/>
                <w:highlight w:val="none"/>
              </w:rPr>
              <w:t>秩序维护</w:t>
            </w:r>
          </w:p>
          <w:p w14:paraId="729F4535">
            <w:pPr>
              <w:jc w:val="center"/>
              <w:rPr>
                <w:rFonts w:hint="eastAsia" w:ascii="宋体" w:hAnsi="宋体" w:cs="宋体"/>
                <w:bCs/>
                <w:color w:val="auto"/>
                <w:sz w:val="24"/>
                <w:highlight w:val="none"/>
              </w:rPr>
            </w:pPr>
            <w:r>
              <w:rPr>
                <w:rFonts w:hint="eastAsia" w:ascii="宋体" w:hAnsi="宋体" w:cs="宋体"/>
                <w:bCs/>
                <w:color w:val="auto"/>
                <w:sz w:val="24"/>
                <w:highlight w:val="none"/>
              </w:rPr>
              <w:t>服务方案</w:t>
            </w:r>
          </w:p>
          <w:p w14:paraId="43647ECD">
            <w:pPr>
              <w:jc w:val="center"/>
              <w:rPr>
                <w:rFonts w:hint="eastAsia" w:ascii="宋体" w:hAnsi="宋体" w:cs="宋体"/>
                <w:bCs/>
                <w:color w:val="auto"/>
                <w:sz w:val="24"/>
                <w:highlight w:val="none"/>
              </w:rPr>
            </w:pPr>
            <w:r>
              <w:rPr>
                <w:rFonts w:hint="eastAsia" w:ascii="宋体" w:hAnsi="宋体" w:cs="宋体"/>
                <w:bCs/>
                <w:color w:val="auto"/>
                <w:sz w:val="24"/>
                <w:highlight w:val="none"/>
              </w:rPr>
              <w:t>（10分）</w:t>
            </w:r>
          </w:p>
        </w:tc>
        <w:tc>
          <w:tcPr>
            <w:tcW w:w="3686" w:type="dxa"/>
            <w:noWrap w:val="0"/>
            <w:vAlign w:val="center"/>
          </w:tcPr>
          <w:p w14:paraId="4035A848">
            <w:pPr>
              <w:rPr>
                <w:rFonts w:hint="eastAsia" w:ascii="宋体" w:hAnsi="宋体" w:cs="宋体"/>
                <w:bCs/>
                <w:color w:val="auto"/>
                <w:sz w:val="24"/>
                <w:highlight w:val="none"/>
              </w:rPr>
            </w:pPr>
            <w:r>
              <w:rPr>
                <w:rFonts w:hint="eastAsia" w:ascii="宋体" w:hAnsi="宋体" w:cs="宋体"/>
                <w:bCs/>
                <w:color w:val="auto"/>
                <w:spacing w:val="-14"/>
                <w:sz w:val="24"/>
                <w:highlight w:val="none"/>
              </w:rPr>
              <w:t>方案明确详尽，具体完善，科学合理，与本项目的实</w:t>
            </w:r>
            <w:r>
              <w:rPr>
                <w:rFonts w:hint="eastAsia" w:ascii="宋体" w:hAnsi="宋体" w:cs="宋体"/>
                <w:bCs/>
                <w:color w:val="auto"/>
                <w:spacing w:val="-10"/>
                <w:sz w:val="24"/>
                <w:highlight w:val="none"/>
              </w:rPr>
              <w:t>际情</w:t>
            </w:r>
            <w:r>
              <w:rPr>
                <w:rFonts w:hint="eastAsia" w:ascii="宋体" w:hAnsi="宋体" w:cs="宋体"/>
                <w:bCs/>
                <w:color w:val="auto"/>
                <w:spacing w:val="-9"/>
                <w:sz w:val="24"/>
                <w:highlight w:val="none"/>
              </w:rPr>
              <w:t>况</w:t>
            </w:r>
            <w:r>
              <w:rPr>
                <w:rFonts w:hint="eastAsia" w:ascii="宋体" w:hAnsi="宋体" w:cs="宋体"/>
                <w:bCs/>
                <w:color w:val="auto"/>
                <w:spacing w:val="-5"/>
                <w:sz w:val="24"/>
                <w:highlight w:val="none"/>
              </w:rPr>
              <w:t>契合度高、针对性和操作性强</w:t>
            </w:r>
          </w:p>
        </w:tc>
        <w:tc>
          <w:tcPr>
            <w:tcW w:w="1869" w:type="dxa"/>
            <w:noWrap w:val="0"/>
            <w:vAlign w:val="center"/>
          </w:tcPr>
          <w:p w14:paraId="672A30A3">
            <w:pPr>
              <w:widowControl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8</w:t>
            </w:r>
            <w:r>
              <w:rPr>
                <w:rFonts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en-US" w:eastAsia="zh-CN" w:bidi="ar-SA"/>
              </w:rPr>
              <w:t>-10</w:t>
            </w:r>
            <w:r>
              <w:rPr>
                <w:rFonts w:ascii="宋体" w:hAnsi="宋体" w:eastAsia="宋体" w:cs="宋体"/>
                <w:bCs/>
                <w:color w:val="auto"/>
                <w:kern w:val="2"/>
                <w:sz w:val="24"/>
                <w:szCs w:val="24"/>
                <w:highlight w:val="none"/>
                <w:lang w:val="en-US" w:eastAsia="zh-CN" w:bidi="ar-SA"/>
              </w:rPr>
              <w:t>.0</w:t>
            </w:r>
          </w:p>
        </w:tc>
      </w:tr>
      <w:tr w14:paraId="792D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7FE903C2">
            <w:pPr>
              <w:jc w:val="center"/>
              <w:rPr>
                <w:rFonts w:hint="eastAsia" w:ascii="宋体" w:hAnsi="宋体" w:cs="宋体"/>
                <w:bCs/>
                <w:color w:val="auto"/>
                <w:sz w:val="24"/>
                <w:highlight w:val="none"/>
              </w:rPr>
            </w:pPr>
          </w:p>
        </w:tc>
        <w:tc>
          <w:tcPr>
            <w:tcW w:w="1128" w:type="dxa"/>
            <w:vMerge w:val="continue"/>
            <w:noWrap w:val="0"/>
            <w:vAlign w:val="center"/>
          </w:tcPr>
          <w:p w14:paraId="7667366C">
            <w:pPr>
              <w:jc w:val="center"/>
              <w:rPr>
                <w:rFonts w:hint="eastAsia" w:ascii="宋体" w:hAnsi="宋体" w:cs="宋体"/>
                <w:bCs/>
                <w:color w:val="auto"/>
                <w:sz w:val="24"/>
                <w:highlight w:val="none"/>
              </w:rPr>
            </w:pPr>
          </w:p>
        </w:tc>
        <w:tc>
          <w:tcPr>
            <w:tcW w:w="1565" w:type="dxa"/>
            <w:vMerge w:val="continue"/>
            <w:noWrap w:val="0"/>
            <w:vAlign w:val="center"/>
          </w:tcPr>
          <w:p w14:paraId="1C9EF851">
            <w:pPr>
              <w:jc w:val="center"/>
              <w:rPr>
                <w:rFonts w:hint="eastAsia" w:ascii="宋体" w:hAnsi="宋体" w:cs="宋体"/>
                <w:bCs/>
                <w:color w:val="auto"/>
                <w:sz w:val="24"/>
                <w:highlight w:val="none"/>
              </w:rPr>
            </w:pPr>
          </w:p>
        </w:tc>
        <w:tc>
          <w:tcPr>
            <w:tcW w:w="3686" w:type="dxa"/>
            <w:noWrap w:val="0"/>
            <w:vAlign w:val="center"/>
          </w:tcPr>
          <w:p w14:paraId="195F6AF2">
            <w:pPr>
              <w:rPr>
                <w:rFonts w:hint="eastAsia" w:ascii="宋体" w:hAnsi="宋体" w:cs="宋体"/>
                <w:bCs/>
                <w:color w:val="auto"/>
                <w:sz w:val="24"/>
                <w:highlight w:val="none"/>
              </w:rPr>
            </w:pPr>
            <w:r>
              <w:rPr>
                <w:rFonts w:hint="eastAsia" w:ascii="宋体" w:hAnsi="宋体" w:cs="宋体"/>
                <w:bCs/>
                <w:color w:val="auto"/>
                <w:spacing w:val="-10"/>
                <w:sz w:val="24"/>
                <w:highlight w:val="none"/>
              </w:rPr>
              <w:t>方案较明确、较具体，合理可行，与本项目的实际情</w:t>
            </w:r>
            <w:r>
              <w:rPr>
                <w:rFonts w:hint="eastAsia" w:ascii="宋体" w:hAnsi="宋体" w:cs="宋体"/>
                <w:bCs/>
                <w:color w:val="auto"/>
                <w:spacing w:val="-24"/>
                <w:sz w:val="24"/>
                <w:highlight w:val="none"/>
              </w:rPr>
              <w:t>况</w:t>
            </w:r>
            <w:r>
              <w:rPr>
                <w:rFonts w:hint="eastAsia" w:ascii="宋体" w:hAnsi="宋体" w:cs="宋体"/>
                <w:bCs/>
                <w:color w:val="auto"/>
                <w:spacing w:val="-15"/>
                <w:sz w:val="24"/>
                <w:highlight w:val="none"/>
              </w:rPr>
              <w:t>契</w:t>
            </w:r>
            <w:r>
              <w:rPr>
                <w:rFonts w:hint="eastAsia" w:ascii="宋体" w:hAnsi="宋体" w:cs="宋体"/>
                <w:bCs/>
                <w:color w:val="auto"/>
                <w:spacing w:val="-12"/>
                <w:sz w:val="24"/>
                <w:highlight w:val="none"/>
              </w:rPr>
              <w:t>合度较高，可操作</w:t>
            </w:r>
          </w:p>
        </w:tc>
        <w:tc>
          <w:tcPr>
            <w:tcW w:w="1869" w:type="dxa"/>
            <w:noWrap w:val="0"/>
            <w:vAlign w:val="center"/>
          </w:tcPr>
          <w:p w14:paraId="6D526D36">
            <w:pPr>
              <w:widowControl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w:t>
            </w:r>
            <w:r>
              <w:rPr>
                <w:rFonts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en-US" w:eastAsia="zh-CN" w:bidi="ar-SA"/>
              </w:rPr>
              <w:t>-8</w:t>
            </w:r>
            <w:r>
              <w:rPr>
                <w:rFonts w:ascii="宋体" w:hAnsi="宋体" w:eastAsia="宋体" w:cs="宋体"/>
                <w:bCs/>
                <w:color w:val="auto"/>
                <w:kern w:val="2"/>
                <w:sz w:val="24"/>
                <w:szCs w:val="24"/>
                <w:highlight w:val="none"/>
                <w:lang w:val="en-US" w:eastAsia="zh-CN" w:bidi="ar-SA"/>
              </w:rPr>
              <w:t>.0</w:t>
            </w:r>
          </w:p>
        </w:tc>
      </w:tr>
      <w:tr w14:paraId="7FE1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16CC6E77">
            <w:pPr>
              <w:jc w:val="center"/>
              <w:rPr>
                <w:rFonts w:hint="eastAsia" w:ascii="宋体" w:hAnsi="宋体" w:cs="宋体"/>
                <w:bCs/>
                <w:color w:val="auto"/>
                <w:sz w:val="24"/>
                <w:highlight w:val="none"/>
              </w:rPr>
            </w:pPr>
          </w:p>
        </w:tc>
        <w:tc>
          <w:tcPr>
            <w:tcW w:w="1128" w:type="dxa"/>
            <w:vMerge w:val="continue"/>
            <w:noWrap w:val="0"/>
            <w:vAlign w:val="center"/>
          </w:tcPr>
          <w:p w14:paraId="1FFC6BB5">
            <w:pPr>
              <w:jc w:val="center"/>
              <w:rPr>
                <w:rFonts w:hint="eastAsia" w:ascii="宋体" w:hAnsi="宋体" w:cs="宋体"/>
                <w:bCs/>
                <w:color w:val="auto"/>
                <w:sz w:val="24"/>
                <w:highlight w:val="none"/>
              </w:rPr>
            </w:pPr>
          </w:p>
        </w:tc>
        <w:tc>
          <w:tcPr>
            <w:tcW w:w="1565" w:type="dxa"/>
            <w:vMerge w:val="continue"/>
            <w:noWrap w:val="0"/>
            <w:vAlign w:val="center"/>
          </w:tcPr>
          <w:p w14:paraId="37596E48">
            <w:pPr>
              <w:jc w:val="center"/>
              <w:rPr>
                <w:rFonts w:hint="eastAsia" w:ascii="宋体" w:hAnsi="宋体" w:cs="宋体"/>
                <w:bCs/>
                <w:color w:val="auto"/>
                <w:sz w:val="24"/>
                <w:highlight w:val="none"/>
              </w:rPr>
            </w:pPr>
          </w:p>
        </w:tc>
        <w:tc>
          <w:tcPr>
            <w:tcW w:w="3686" w:type="dxa"/>
            <w:noWrap w:val="0"/>
            <w:vAlign w:val="center"/>
          </w:tcPr>
          <w:p w14:paraId="6FBD1ED7">
            <w:pPr>
              <w:rPr>
                <w:rFonts w:hint="eastAsia" w:ascii="宋体" w:hAnsi="宋体" w:cs="宋体"/>
                <w:bCs/>
                <w:color w:val="auto"/>
                <w:sz w:val="24"/>
                <w:highlight w:val="none"/>
              </w:rPr>
            </w:pPr>
            <w:r>
              <w:rPr>
                <w:rFonts w:hint="eastAsia" w:ascii="宋体" w:hAnsi="宋体" w:cs="宋体"/>
                <w:bCs/>
                <w:color w:val="auto"/>
                <w:spacing w:val="-1"/>
                <w:sz w:val="24"/>
                <w:highlight w:val="none"/>
              </w:rPr>
              <w:t>基本满足招标文件及项目要求</w:t>
            </w:r>
          </w:p>
        </w:tc>
        <w:tc>
          <w:tcPr>
            <w:tcW w:w="1869" w:type="dxa"/>
            <w:noWrap w:val="0"/>
            <w:vAlign w:val="center"/>
          </w:tcPr>
          <w:p w14:paraId="03F857CD">
            <w:pPr>
              <w:widowControl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w:t>
            </w:r>
            <w:r>
              <w:rPr>
                <w:rFonts w:ascii="宋体" w:hAnsi="宋体" w:eastAsia="宋体" w:cs="宋体"/>
                <w:bCs/>
                <w:color w:val="auto"/>
                <w:kern w:val="2"/>
                <w:sz w:val="24"/>
                <w:szCs w:val="24"/>
                <w:highlight w:val="none"/>
                <w:lang w:val="en-US" w:eastAsia="zh-CN" w:bidi="ar-SA"/>
              </w:rPr>
              <w:t>.0</w:t>
            </w:r>
          </w:p>
        </w:tc>
      </w:tr>
      <w:tr w14:paraId="4138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6CCBF55A">
            <w:pPr>
              <w:jc w:val="center"/>
              <w:rPr>
                <w:rFonts w:hint="eastAsia" w:ascii="宋体" w:hAnsi="宋体" w:cs="宋体"/>
                <w:bCs/>
                <w:color w:val="auto"/>
                <w:sz w:val="24"/>
                <w:highlight w:val="none"/>
              </w:rPr>
            </w:pPr>
          </w:p>
        </w:tc>
        <w:tc>
          <w:tcPr>
            <w:tcW w:w="1128" w:type="dxa"/>
            <w:vMerge w:val="continue"/>
            <w:noWrap w:val="0"/>
            <w:vAlign w:val="center"/>
          </w:tcPr>
          <w:p w14:paraId="12318A04">
            <w:pPr>
              <w:jc w:val="center"/>
              <w:rPr>
                <w:rFonts w:hint="eastAsia" w:ascii="宋体" w:hAnsi="宋体" w:cs="宋体"/>
                <w:bCs/>
                <w:color w:val="auto"/>
                <w:sz w:val="24"/>
                <w:highlight w:val="none"/>
              </w:rPr>
            </w:pPr>
          </w:p>
        </w:tc>
        <w:tc>
          <w:tcPr>
            <w:tcW w:w="1565" w:type="dxa"/>
            <w:vMerge w:val="restart"/>
            <w:noWrap w:val="0"/>
            <w:vAlign w:val="center"/>
          </w:tcPr>
          <w:p w14:paraId="00625F5C">
            <w:pPr>
              <w:jc w:val="center"/>
              <w:rPr>
                <w:rFonts w:ascii="宋体" w:hAnsi="宋体" w:cs="宋体"/>
                <w:bCs/>
                <w:color w:val="auto"/>
                <w:sz w:val="24"/>
                <w:highlight w:val="none"/>
              </w:rPr>
            </w:pPr>
            <w:r>
              <w:rPr>
                <w:rFonts w:hint="eastAsia" w:ascii="宋体" w:hAnsi="宋体" w:cs="宋体"/>
                <w:bCs/>
                <w:color w:val="auto"/>
                <w:sz w:val="24"/>
                <w:highlight w:val="none"/>
              </w:rPr>
              <w:t>设备维保、</w:t>
            </w:r>
          </w:p>
          <w:p w14:paraId="0174F72E">
            <w:pPr>
              <w:jc w:val="center"/>
              <w:rPr>
                <w:rFonts w:hint="eastAsia" w:ascii="宋体" w:hAnsi="宋体" w:cs="宋体"/>
                <w:bCs/>
                <w:color w:val="auto"/>
                <w:sz w:val="24"/>
                <w:highlight w:val="none"/>
              </w:rPr>
            </w:pPr>
            <w:r>
              <w:rPr>
                <w:rFonts w:hint="eastAsia" w:ascii="宋体" w:hAnsi="宋体" w:cs="宋体"/>
                <w:bCs/>
                <w:color w:val="auto"/>
                <w:sz w:val="24"/>
                <w:highlight w:val="none"/>
              </w:rPr>
              <w:t>检修及保障服务方案</w:t>
            </w:r>
          </w:p>
          <w:p w14:paraId="67187794">
            <w:pPr>
              <w:jc w:val="center"/>
              <w:rPr>
                <w:rFonts w:hint="eastAsia" w:ascii="宋体" w:hAnsi="宋体" w:cs="宋体"/>
                <w:bCs/>
                <w:color w:val="auto"/>
                <w:sz w:val="24"/>
                <w:highlight w:val="none"/>
              </w:rPr>
            </w:pPr>
            <w:r>
              <w:rPr>
                <w:rFonts w:hint="eastAsia" w:ascii="宋体" w:hAnsi="宋体" w:cs="宋体"/>
                <w:bCs/>
                <w:color w:val="auto"/>
                <w:sz w:val="24"/>
                <w:highlight w:val="none"/>
              </w:rPr>
              <w:t>（5分）</w:t>
            </w:r>
          </w:p>
        </w:tc>
        <w:tc>
          <w:tcPr>
            <w:tcW w:w="3686" w:type="dxa"/>
            <w:noWrap w:val="0"/>
            <w:vAlign w:val="center"/>
          </w:tcPr>
          <w:p w14:paraId="2691CC7D">
            <w:pPr>
              <w:rPr>
                <w:rFonts w:hint="eastAsia" w:ascii="宋体" w:hAnsi="宋体" w:cs="宋体"/>
                <w:bCs/>
                <w:color w:val="auto"/>
                <w:sz w:val="24"/>
                <w:highlight w:val="none"/>
              </w:rPr>
            </w:pPr>
            <w:r>
              <w:rPr>
                <w:rFonts w:hint="eastAsia" w:ascii="宋体" w:hAnsi="宋体" w:cs="宋体"/>
                <w:bCs/>
                <w:color w:val="auto"/>
                <w:spacing w:val="-14"/>
                <w:sz w:val="24"/>
                <w:highlight w:val="none"/>
              </w:rPr>
              <w:t>方案明确详尽，具体完善，科学合理，与本项目的实</w:t>
            </w:r>
            <w:r>
              <w:rPr>
                <w:rFonts w:hint="eastAsia" w:ascii="宋体" w:hAnsi="宋体" w:cs="宋体"/>
                <w:bCs/>
                <w:color w:val="auto"/>
                <w:spacing w:val="-10"/>
                <w:sz w:val="24"/>
                <w:highlight w:val="none"/>
              </w:rPr>
              <w:t>际情</w:t>
            </w:r>
            <w:r>
              <w:rPr>
                <w:rFonts w:hint="eastAsia" w:ascii="宋体" w:hAnsi="宋体" w:cs="宋体"/>
                <w:bCs/>
                <w:color w:val="auto"/>
                <w:spacing w:val="-9"/>
                <w:sz w:val="24"/>
                <w:highlight w:val="none"/>
              </w:rPr>
              <w:t>况</w:t>
            </w:r>
            <w:r>
              <w:rPr>
                <w:rFonts w:hint="eastAsia" w:ascii="宋体" w:hAnsi="宋体" w:cs="宋体"/>
                <w:bCs/>
                <w:color w:val="auto"/>
                <w:spacing w:val="-5"/>
                <w:sz w:val="24"/>
                <w:highlight w:val="none"/>
              </w:rPr>
              <w:t>契合度高、针对性和操作性强</w:t>
            </w:r>
          </w:p>
        </w:tc>
        <w:tc>
          <w:tcPr>
            <w:tcW w:w="1869" w:type="dxa"/>
            <w:noWrap w:val="0"/>
            <w:vAlign w:val="center"/>
          </w:tcPr>
          <w:p w14:paraId="67152781">
            <w:pPr>
              <w:widowControl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w:t>
            </w:r>
            <w:r>
              <w:rPr>
                <w:rFonts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en-US" w:eastAsia="zh-CN" w:bidi="ar-SA"/>
              </w:rPr>
              <w:t>-5</w:t>
            </w:r>
            <w:r>
              <w:rPr>
                <w:rFonts w:ascii="宋体" w:hAnsi="宋体" w:eastAsia="宋体" w:cs="宋体"/>
                <w:bCs/>
                <w:color w:val="auto"/>
                <w:kern w:val="2"/>
                <w:sz w:val="24"/>
                <w:szCs w:val="24"/>
                <w:highlight w:val="none"/>
                <w:lang w:val="en-US" w:eastAsia="zh-CN" w:bidi="ar-SA"/>
              </w:rPr>
              <w:t>.0</w:t>
            </w:r>
          </w:p>
        </w:tc>
      </w:tr>
      <w:tr w14:paraId="3DA1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3B12ED73">
            <w:pPr>
              <w:jc w:val="center"/>
              <w:rPr>
                <w:rFonts w:hint="eastAsia" w:ascii="宋体" w:hAnsi="宋体" w:cs="宋体"/>
                <w:bCs/>
                <w:color w:val="auto"/>
                <w:sz w:val="24"/>
                <w:highlight w:val="none"/>
              </w:rPr>
            </w:pPr>
          </w:p>
        </w:tc>
        <w:tc>
          <w:tcPr>
            <w:tcW w:w="1128" w:type="dxa"/>
            <w:vMerge w:val="continue"/>
            <w:noWrap w:val="0"/>
            <w:vAlign w:val="center"/>
          </w:tcPr>
          <w:p w14:paraId="40C7154B">
            <w:pPr>
              <w:jc w:val="center"/>
              <w:rPr>
                <w:rFonts w:hint="eastAsia" w:ascii="宋体" w:hAnsi="宋体" w:cs="宋体"/>
                <w:bCs/>
                <w:color w:val="auto"/>
                <w:sz w:val="24"/>
                <w:highlight w:val="none"/>
              </w:rPr>
            </w:pPr>
          </w:p>
        </w:tc>
        <w:tc>
          <w:tcPr>
            <w:tcW w:w="1565" w:type="dxa"/>
            <w:vMerge w:val="continue"/>
            <w:noWrap w:val="0"/>
            <w:vAlign w:val="center"/>
          </w:tcPr>
          <w:p w14:paraId="623837DA">
            <w:pPr>
              <w:jc w:val="center"/>
              <w:rPr>
                <w:rFonts w:hint="eastAsia" w:ascii="宋体" w:hAnsi="宋体" w:cs="宋体"/>
                <w:bCs/>
                <w:color w:val="auto"/>
                <w:sz w:val="24"/>
                <w:highlight w:val="none"/>
              </w:rPr>
            </w:pPr>
          </w:p>
        </w:tc>
        <w:tc>
          <w:tcPr>
            <w:tcW w:w="3686" w:type="dxa"/>
            <w:noWrap w:val="0"/>
            <w:vAlign w:val="center"/>
          </w:tcPr>
          <w:p w14:paraId="1CCE7E5C">
            <w:pPr>
              <w:rPr>
                <w:rFonts w:hint="eastAsia" w:ascii="宋体" w:hAnsi="宋体" w:cs="宋体"/>
                <w:bCs/>
                <w:color w:val="auto"/>
                <w:sz w:val="24"/>
                <w:highlight w:val="none"/>
              </w:rPr>
            </w:pPr>
            <w:r>
              <w:rPr>
                <w:rFonts w:hint="eastAsia" w:ascii="宋体" w:hAnsi="宋体" w:cs="宋体"/>
                <w:bCs/>
                <w:color w:val="auto"/>
                <w:spacing w:val="-10"/>
                <w:sz w:val="24"/>
                <w:highlight w:val="none"/>
              </w:rPr>
              <w:t>方案较明确、较具体，合理可行，与本项目的实际情</w:t>
            </w:r>
            <w:r>
              <w:rPr>
                <w:rFonts w:hint="eastAsia" w:ascii="宋体" w:hAnsi="宋体" w:cs="宋体"/>
                <w:bCs/>
                <w:color w:val="auto"/>
                <w:spacing w:val="-24"/>
                <w:sz w:val="24"/>
                <w:highlight w:val="none"/>
              </w:rPr>
              <w:t>况</w:t>
            </w:r>
            <w:r>
              <w:rPr>
                <w:rFonts w:hint="eastAsia" w:ascii="宋体" w:hAnsi="宋体" w:cs="宋体"/>
                <w:bCs/>
                <w:color w:val="auto"/>
                <w:spacing w:val="-15"/>
                <w:sz w:val="24"/>
                <w:highlight w:val="none"/>
              </w:rPr>
              <w:t>契</w:t>
            </w:r>
            <w:r>
              <w:rPr>
                <w:rFonts w:hint="eastAsia" w:ascii="宋体" w:hAnsi="宋体" w:cs="宋体"/>
                <w:bCs/>
                <w:color w:val="auto"/>
                <w:spacing w:val="-12"/>
                <w:sz w:val="24"/>
                <w:highlight w:val="none"/>
              </w:rPr>
              <w:t>合度较高，可操作</w:t>
            </w:r>
          </w:p>
        </w:tc>
        <w:tc>
          <w:tcPr>
            <w:tcW w:w="1869" w:type="dxa"/>
            <w:noWrap w:val="0"/>
            <w:vAlign w:val="center"/>
          </w:tcPr>
          <w:p w14:paraId="101282B4">
            <w:pPr>
              <w:widowControl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w:t>
            </w:r>
            <w:r>
              <w:rPr>
                <w:rFonts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en-US" w:eastAsia="zh-CN" w:bidi="ar-SA"/>
              </w:rPr>
              <w:t>-4</w:t>
            </w:r>
            <w:r>
              <w:rPr>
                <w:rFonts w:ascii="宋体" w:hAnsi="宋体" w:eastAsia="宋体" w:cs="宋体"/>
                <w:bCs/>
                <w:color w:val="auto"/>
                <w:kern w:val="2"/>
                <w:sz w:val="24"/>
                <w:szCs w:val="24"/>
                <w:highlight w:val="none"/>
                <w:lang w:val="en-US" w:eastAsia="zh-CN" w:bidi="ar-SA"/>
              </w:rPr>
              <w:t>.0</w:t>
            </w:r>
          </w:p>
        </w:tc>
      </w:tr>
      <w:tr w14:paraId="1FA5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33372858">
            <w:pPr>
              <w:jc w:val="center"/>
              <w:rPr>
                <w:rFonts w:hint="eastAsia" w:ascii="宋体" w:hAnsi="宋体" w:cs="宋体"/>
                <w:bCs/>
                <w:color w:val="auto"/>
                <w:sz w:val="24"/>
                <w:highlight w:val="none"/>
              </w:rPr>
            </w:pPr>
          </w:p>
        </w:tc>
        <w:tc>
          <w:tcPr>
            <w:tcW w:w="1128" w:type="dxa"/>
            <w:vMerge w:val="continue"/>
            <w:noWrap w:val="0"/>
            <w:vAlign w:val="center"/>
          </w:tcPr>
          <w:p w14:paraId="6B5F26A9">
            <w:pPr>
              <w:jc w:val="center"/>
              <w:rPr>
                <w:rFonts w:hint="eastAsia" w:ascii="宋体" w:hAnsi="宋体" w:cs="宋体"/>
                <w:bCs/>
                <w:color w:val="auto"/>
                <w:sz w:val="24"/>
                <w:highlight w:val="none"/>
              </w:rPr>
            </w:pPr>
          </w:p>
        </w:tc>
        <w:tc>
          <w:tcPr>
            <w:tcW w:w="1565" w:type="dxa"/>
            <w:vMerge w:val="continue"/>
            <w:noWrap w:val="0"/>
            <w:vAlign w:val="center"/>
          </w:tcPr>
          <w:p w14:paraId="2A80B0F8">
            <w:pPr>
              <w:jc w:val="center"/>
              <w:rPr>
                <w:rFonts w:hint="eastAsia" w:ascii="宋体" w:hAnsi="宋体" w:cs="宋体"/>
                <w:bCs/>
                <w:color w:val="auto"/>
                <w:sz w:val="24"/>
                <w:highlight w:val="none"/>
              </w:rPr>
            </w:pPr>
          </w:p>
        </w:tc>
        <w:tc>
          <w:tcPr>
            <w:tcW w:w="3686" w:type="dxa"/>
            <w:noWrap w:val="0"/>
            <w:vAlign w:val="center"/>
          </w:tcPr>
          <w:p w14:paraId="59935D77">
            <w:pPr>
              <w:rPr>
                <w:rFonts w:hint="eastAsia" w:ascii="宋体" w:hAnsi="宋体" w:cs="宋体"/>
                <w:bCs/>
                <w:color w:val="auto"/>
                <w:sz w:val="24"/>
                <w:highlight w:val="none"/>
              </w:rPr>
            </w:pPr>
            <w:r>
              <w:rPr>
                <w:rFonts w:hint="eastAsia" w:ascii="宋体" w:hAnsi="宋体" w:cs="宋体"/>
                <w:bCs/>
                <w:color w:val="auto"/>
                <w:spacing w:val="-1"/>
                <w:sz w:val="24"/>
                <w:highlight w:val="none"/>
              </w:rPr>
              <w:t>基本满足招标文件及项目要求</w:t>
            </w:r>
          </w:p>
        </w:tc>
        <w:tc>
          <w:tcPr>
            <w:tcW w:w="1869" w:type="dxa"/>
            <w:noWrap w:val="0"/>
            <w:vAlign w:val="center"/>
          </w:tcPr>
          <w:p w14:paraId="71777620">
            <w:pPr>
              <w:widowControl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ascii="宋体" w:hAnsi="宋体" w:eastAsia="宋体" w:cs="Times New Roman"/>
                <w:color w:val="auto"/>
                <w:kern w:val="2"/>
                <w:sz w:val="24"/>
                <w:szCs w:val="24"/>
                <w:highlight w:val="none"/>
                <w:lang w:val="en-US" w:eastAsia="zh-CN" w:bidi="ar-SA"/>
              </w:rPr>
              <w:t>.0</w:t>
            </w:r>
          </w:p>
        </w:tc>
      </w:tr>
      <w:tr w14:paraId="2DE2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090AC277">
            <w:pPr>
              <w:jc w:val="center"/>
              <w:rPr>
                <w:rFonts w:hint="eastAsia" w:ascii="宋体" w:hAnsi="宋体" w:cs="宋体"/>
                <w:bCs/>
                <w:color w:val="auto"/>
                <w:sz w:val="24"/>
                <w:highlight w:val="none"/>
              </w:rPr>
            </w:pPr>
          </w:p>
        </w:tc>
        <w:tc>
          <w:tcPr>
            <w:tcW w:w="1128" w:type="dxa"/>
            <w:vMerge w:val="continue"/>
            <w:noWrap w:val="0"/>
            <w:vAlign w:val="center"/>
          </w:tcPr>
          <w:p w14:paraId="4EAD7693">
            <w:pPr>
              <w:jc w:val="center"/>
              <w:rPr>
                <w:rFonts w:hint="eastAsia" w:ascii="宋体" w:hAnsi="宋体" w:cs="宋体"/>
                <w:bCs/>
                <w:color w:val="auto"/>
                <w:sz w:val="24"/>
                <w:highlight w:val="none"/>
              </w:rPr>
            </w:pPr>
          </w:p>
        </w:tc>
        <w:tc>
          <w:tcPr>
            <w:tcW w:w="1565" w:type="dxa"/>
            <w:vMerge w:val="restart"/>
            <w:noWrap w:val="0"/>
            <w:vAlign w:val="center"/>
          </w:tcPr>
          <w:p w14:paraId="680B98E3">
            <w:pPr>
              <w:jc w:val="center"/>
              <w:rPr>
                <w:rFonts w:hint="eastAsia" w:ascii="宋体" w:hAnsi="宋体" w:cs="宋体"/>
                <w:bCs/>
                <w:color w:val="auto"/>
                <w:sz w:val="24"/>
                <w:highlight w:val="none"/>
              </w:rPr>
            </w:pPr>
            <w:r>
              <w:rPr>
                <w:rFonts w:hint="eastAsia" w:ascii="宋体" w:hAnsi="宋体" w:cs="宋体"/>
                <w:bCs/>
                <w:color w:val="auto"/>
                <w:sz w:val="24"/>
                <w:highlight w:val="none"/>
              </w:rPr>
              <w:t>会务服务</w:t>
            </w:r>
            <w:r>
              <w:rPr>
                <w:rFonts w:hint="eastAsia" w:ascii="宋体" w:hAnsi="宋体" w:cs="宋体"/>
                <w:bCs/>
                <w:color w:val="auto"/>
                <w:sz w:val="24"/>
                <w:highlight w:val="none"/>
                <w:lang w:val="en-US" w:eastAsia="zh-CN"/>
              </w:rPr>
              <w:t>及</w:t>
            </w:r>
            <w:r>
              <w:rPr>
                <w:rFonts w:hint="eastAsia" w:ascii="宋体" w:hAnsi="宋体" w:cs="宋体"/>
                <w:color w:val="auto"/>
                <w:sz w:val="24"/>
                <w:highlight w:val="none"/>
                <w:lang w:val="en-US" w:eastAsia="zh-CN"/>
              </w:rPr>
              <w:t>就餐招待服务</w:t>
            </w:r>
            <w:r>
              <w:rPr>
                <w:rFonts w:hint="eastAsia" w:ascii="宋体" w:hAnsi="宋体" w:cs="宋体"/>
                <w:bCs/>
                <w:color w:val="auto"/>
                <w:sz w:val="24"/>
                <w:highlight w:val="none"/>
              </w:rPr>
              <w:t>方案（5分）</w:t>
            </w:r>
          </w:p>
        </w:tc>
        <w:tc>
          <w:tcPr>
            <w:tcW w:w="3686" w:type="dxa"/>
            <w:noWrap w:val="0"/>
            <w:vAlign w:val="center"/>
          </w:tcPr>
          <w:p w14:paraId="6853E2DD">
            <w:pPr>
              <w:rPr>
                <w:rFonts w:hint="eastAsia" w:ascii="宋体" w:hAnsi="宋体" w:cs="宋体"/>
                <w:bCs/>
                <w:color w:val="auto"/>
                <w:sz w:val="24"/>
                <w:highlight w:val="none"/>
              </w:rPr>
            </w:pPr>
            <w:r>
              <w:rPr>
                <w:rFonts w:hint="eastAsia" w:ascii="宋体" w:hAnsi="宋体" w:cs="宋体"/>
                <w:bCs/>
                <w:color w:val="auto"/>
                <w:spacing w:val="-14"/>
                <w:sz w:val="24"/>
                <w:highlight w:val="none"/>
              </w:rPr>
              <w:t>方案明确详尽，具体完善，科学合理，与本项目的实</w:t>
            </w:r>
            <w:r>
              <w:rPr>
                <w:rFonts w:hint="eastAsia" w:ascii="宋体" w:hAnsi="宋体" w:cs="宋体"/>
                <w:bCs/>
                <w:color w:val="auto"/>
                <w:spacing w:val="-10"/>
                <w:sz w:val="24"/>
                <w:highlight w:val="none"/>
              </w:rPr>
              <w:t>际情</w:t>
            </w:r>
            <w:r>
              <w:rPr>
                <w:rFonts w:hint="eastAsia" w:ascii="宋体" w:hAnsi="宋体" w:cs="宋体"/>
                <w:bCs/>
                <w:color w:val="auto"/>
                <w:spacing w:val="-9"/>
                <w:sz w:val="24"/>
                <w:highlight w:val="none"/>
              </w:rPr>
              <w:t>况</w:t>
            </w:r>
            <w:r>
              <w:rPr>
                <w:rFonts w:hint="eastAsia" w:ascii="宋体" w:hAnsi="宋体" w:cs="宋体"/>
                <w:bCs/>
                <w:color w:val="auto"/>
                <w:spacing w:val="-5"/>
                <w:sz w:val="24"/>
                <w:highlight w:val="none"/>
              </w:rPr>
              <w:t>契合度高、针对性和操作性强</w:t>
            </w:r>
          </w:p>
        </w:tc>
        <w:tc>
          <w:tcPr>
            <w:tcW w:w="1869" w:type="dxa"/>
            <w:noWrap w:val="0"/>
            <w:vAlign w:val="center"/>
          </w:tcPr>
          <w:p w14:paraId="0492C19E">
            <w:pPr>
              <w:widowControl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w:t>
            </w:r>
            <w:r>
              <w:rPr>
                <w:rFonts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en-US" w:eastAsia="zh-CN" w:bidi="ar-SA"/>
              </w:rPr>
              <w:t>-5</w:t>
            </w:r>
            <w:r>
              <w:rPr>
                <w:rFonts w:ascii="宋体" w:hAnsi="宋体" w:eastAsia="宋体" w:cs="宋体"/>
                <w:bCs/>
                <w:color w:val="auto"/>
                <w:kern w:val="2"/>
                <w:sz w:val="24"/>
                <w:szCs w:val="24"/>
                <w:highlight w:val="none"/>
                <w:lang w:val="en-US" w:eastAsia="zh-CN" w:bidi="ar-SA"/>
              </w:rPr>
              <w:t>.0</w:t>
            </w:r>
          </w:p>
        </w:tc>
      </w:tr>
      <w:tr w14:paraId="269D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6DBB4413">
            <w:pPr>
              <w:jc w:val="center"/>
              <w:rPr>
                <w:rFonts w:hint="eastAsia" w:ascii="宋体" w:hAnsi="宋体" w:cs="宋体"/>
                <w:bCs/>
                <w:color w:val="auto"/>
                <w:sz w:val="24"/>
                <w:highlight w:val="none"/>
              </w:rPr>
            </w:pPr>
          </w:p>
        </w:tc>
        <w:tc>
          <w:tcPr>
            <w:tcW w:w="1128" w:type="dxa"/>
            <w:vMerge w:val="continue"/>
            <w:noWrap w:val="0"/>
            <w:vAlign w:val="center"/>
          </w:tcPr>
          <w:p w14:paraId="6111214E">
            <w:pPr>
              <w:jc w:val="center"/>
              <w:rPr>
                <w:rFonts w:hint="eastAsia" w:ascii="宋体" w:hAnsi="宋体" w:cs="宋体"/>
                <w:bCs/>
                <w:color w:val="auto"/>
                <w:sz w:val="24"/>
                <w:highlight w:val="none"/>
              </w:rPr>
            </w:pPr>
          </w:p>
        </w:tc>
        <w:tc>
          <w:tcPr>
            <w:tcW w:w="1565" w:type="dxa"/>
            <w:vMerge w:val="continue"/>
            <w:noWrap w:val="0"/>
            <w:vAlign w:val="center"/>
          </w:tcPr>
          <w:p w14:paraId="1E2BC964">
            <w:pPr>
              <w:jc w:val="center"/>
              <w:rPr>
                <w:rFonts w:hint="eastAsia" w:ascii="宋体" w:hAnsi="宋体" w:cs="宋体"/>
                <w:bCs/>
                <w:color w:val="auto"/>
                <w:sz w:val="24"/>
                <w:highlight w:val="none"/>
              </w:rPr>
            </w:pPr>
          </w:p>
        </w:tc>
        <w:tc>
          <w:tcPr>
            <w:tcW w:w="3686" w:type="dxa"/>
            <w:noWrap w:val="0"/>
            <w:vAlign w:val="center"/>
          </w:tcPr>
          <w:p w14:paraId="61F9BFAF">
            <w:pPr>
              <w:rPr>
                <w:rFonts w:hint="eastAsia" w:ascii="宋体" w:hAnsi="宋体" w:cs="宋体"/>
                <w:bCs/>
                <w:color w:val="auto"/>
                <w:sz w:val="24"/>
                <w:highlight w:val="none"/>
              </w:rPr>
            </w:pPr>
            <w:r>
              <w:rPr>
                <w:rFonts w:hint="eastAsia" w:ascii="宋体" w:hAnsi="宋体" w:cs="宋体"/>
                <w:bCs/>
                <w:color w:val="auto"/>
                <w:spacing w:val="-10"/>
                <w:sz w:val="24"/>
                <w:highlight w:val="none"/>
              </w:rPr>
              <w:t>方案较明确、较具体，合理可行，与本项目的实际情</w:t>
            </w:r>
            <w:r>
              <w:rPr>
                <w:rFonts w:hint="eastAsia" w:ascii="宋体" w:hAnsi="宋体" w:cs="宋体"/>
                <w:bCs/>
                <w:color w:val="auto"/>
                <w:spacing w:val="-24"/>
                <w:sz w:val="24"/>
                <w:highlight w:val="none"/>
              </w:rPr>
              <w:t>况</w:t>
            </w:r>
            <w:r>
              <w:rPr>
                <w:rFonts w:hint="eastAsia" w:ascii="宋体" w:hAnsi="宋体" w:cs="宋体"/>
                <w:bCs/>
                <w:color w:val="auto"/>
                <w:spacing w:val="-15"/>
                <w:sz w:val="24"/>
                <w:highlight w:val="none"/>
              </w:rPr>
              <w:t>契</w:t>
            </w:r>
            <w:r>
              <w:rPr>
                <w:rFonts w:hint="eastAsia" w:ascii="宋体" w:hAnsi="宋体" w:cs="宋体"/>
                <w:bCs/>
                <w:color w:val="auto"/>
                <w:spacing w:val="-12"/>
                <w:sz w:val="24"/>
                <w:highlight w:val="none"/>
              </w:rPr>
              <w:t>合度较高，可操作</w:t>
            </w:r>
          </w:p>
        </w:tc>
        <w:tc>
          <w:tcPr>
            <w:tcW w:w="1869" w:type="dxa"/>
            <w:noWrap w:val="0"/>
            <w:vAlign w:val="center"/>
          </w:tcPr>
          <w:p w14:paraId="69D5336C">
            <w:pPr>
              <w:widowControl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w:t>
            </w:r>
            <w:r>
              <w:rPr>
                <w:rFonts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en-US" w:eastAsia="zh-CN" w:bidi="ar-SA"/>
              </w:rPr>
              <w:t>-4</w:t>
            </w:r>
            <w:r>
              <w:rPr>
                <w:rFonts w:ascii="宋体" w:hAnsi="宋体" w:eastAsia="宋体" w:cs="宋体"/>
                <w:bCs/>
                <w:color w:val="auto"/>
                <w:kern w:val="2"/>
                <w:sz w:val="24"/>
                <w:szCs w:val="24"/>
                <w:highlight w:val="none"/>
                <w:lang w:val="en-US" w:eastAsia="zh-CN" w:bidi="ar-SA"/>
              </w:rPr>
              <w:t>.0</w:t>
            </w:r>
          </w:p>
        </w:tc>
      </w:tr>
      <w:tr w14:paraId="4D2F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015C1456">
            <w:pPr>
              <w:jc w:val="center"/>
              <w:rPr>
                <w:rFonts w:hint="eastAsia" w:ascii="宋体" w:hAnsi="宋体" w:cs="宋体"/>
                <w:bCs/>
                <w:color w:val="auto"/>
                <w:sz w:val="24"/>
                <w:highlight w:val="none"/>
              </w:rPr>
            </w:pPr>
          </w:p>
        </w:tc>
        <w:tc>
          <w:tcPr>
            <w:tcW w:w="1128" w:type="dxa"/>
            <w:vMerge w:val="continue"/>
            <w:noWrap w:val="0"/>
            <w:vAlign w:val="center"/>
          </w:tcPr>
          <w:p w14:paraId="76BFE390">
            <w:pPr>
              <w:jc w:val="center"/>
              <w:rPr>
                <w:rFonts w:hint="eastAsia" w:ascii="宋体" w:hAnsi="宋体" w:cs="宋体"/>
                <w:bCs/>
                <w:color w:val="auto"/>
                <w:sz w:val="24"/>
                <w:highlight w:val="none"/>
              </w:rPr>
            </w:pPr>
          </w:p>
        </w:tc>
        <w:tc>
          <w:tcPr>
            <w:tcW w:w="1565" w:type="dxa"/>
            <w:vMerge w:val="continue"/>
            <w:noWrap w:val="0"/>
            <w:vAlign w:val="center"/>
          </w:tcPr>
          <w:p w14:paraId="75D69745">
            <w:pPr>
              <w:jc w:val="center"/>
              <w:rPr>
                <w:rFonts w:hint="eastAsia" w:ascii="宋体" w:hAnsi="宋体" w:cs="宋体"/>
                <w:bCs/>
                <w:color w:val="auto"/>
                <w:sz w:val="24"/>
                <w:highlight w:val="none"/>
              </w:rPr>
            </w:pPr>
          </w:p>
        </w:tc>
        <w:tc>
          <w:tcPr>
            <w:tcW w:w="3686" w:type="dxa"/>
            <w:noWrap w:val="0"/>
            <w:vAlign w:val="center"/>
          </w:tcPr>
          <w:p w14:paraId="502516D9">
            <w:pPr>
              <w:rPr>
                <w:rFonts w:hint="eastAsia" w:ascii="宋体" w:hAnsi="宋体" w:cs="宋体"/>
                <w:bCs/>
                <w:color w:val="auto"/>
                <w:sz w:val="24"/>
                <w:highlight w:val="none"/>
              </w:rPr>
            </w:pPr>
            <w:r>
              <w:rPr>
                <w:rFonts w:hint="eastAsia" w:ascii="宋体" w:hAnsi="宋体" w:cs="宋体"/>
                <w:bCs/>
                <w:color w:val="auto"/>
                <w:spacing w:val="-1"/>
                <w:sz w:val="24"/>
                <w:highlight w:val="none"/>
              </w:rPr>
              <w:t>基本满足招标文件及项目要求</w:t>
            </w:r>
          </w:p>
        </w:tc>
        <w:tc>
          <w:tcPr>
            <w:tcW w:w="1869" w:type="dxa"/>
            <w:noWrap w:val="0"/>
            <w:vAlign w:val="center"/>
          </w:tcPr>
          <w:p w14:paraId="12005592">
            <w:pPr>
              <w:widowControl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ascii="宋体" w:hAnsi="宋体" w:eastAsia="宋体" w:cs="Times New Roman"/>
                <w:color w:val="auto"/>
                <w:kern w:val="2"/>
                <w:sz w:val="24"/>
                <w:szCs w:val="24"/>
                <w:highlight w:val="none"/>
                <w:lang w:val="en-US" w:eastAsia="zh-CN" w:bidi="ar-SA"/>
              </w:rPr>
              <w:t>.0</w:t>
            </w:r>
          </w:p>
        </w:tc>
      </w:tr>
      <w:tr w14:paraId="31FF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03C89BAE">
            <w:pPr>
              <w:jc w:val="center"/>
              <w:rPr>
                <w:rFonts w:hint="eastAsia" w:ascii="宋体" w:hAnsi="宋体" w:cs="宋体"/>
                <w:bCs/>
                <w:color w:val="auto"/>
                <w:sz w:val="24"/>
                <w:highlight w:val="none"/>
              </w:rPr>
            </w:pPr>
          </w:p>
        </w:tc>
        <w:tc>
          <w:tcPr>
            <w:tcW w:w="1128" w:type="dxa"/>
            <w:vMerge w:val="continue"/>
            <w:noWrap w:val="0"/>
            <w:vAlign w:val="center"/>
          </w:tcPr>
          <w:p w14:paraId="6C057368">
            <w:pPr>
              <w:jc w:val="center"/>
              <w:rPr>
                <w:rFonts w:hint="eastAsia" w:ascii="宋体" w:hAnsi="宋体" w:cs="宋体"/>
                <w:bCs/>
                <w:color w:val="auto"/>
                <w:sz w:val="24"/>
                <w:highlight w:val="none"/>
              </w:rPr>
            </w:pPr>
          </w:p>
        </w:tc>
        <w:tc>
          <w:tcPr>
            <w:tcW w:w="1565" w:type="dxa"/>
            <w:vMerge w:val="restart"/>
            <w:noWrap w:val="0"/>
            <w:vAlign w:val="center"/>
          </w:tcPr>
          <w:p w14:paraId="2A4CE877">
            <w:pPr>
              <w:jc w:val="center"/>
              <w:rPr>
                <w:rFonts w:hint="eastAsia" w:ascii="宋体" w:hAnsi="宋体" w:cs="宋体"/>
                <w:bCs/>
                <w:color w:val="auto"/>
                <w:sz w:val="24"/>
                <w:highlight w:val="none"/>
              </w:rPr>
            </w:pPr>
            <w:r>
              <w:rPr>
                <w:rFonts w:hint="eastAsia" w:ascii="宋体" w:hAnsi="宋体" w:cs="宋体"/>
                <w:bCs/>
                <w:color w:val="auto"/>
                <w:sz w:val="24"/>
                <w:highlight w:val="none"/>
              </w:rPr>
              <w:t>安全检查、特殊时段专项安全检查</w:t>
            </w:r>
          </w:p>
          <w:p w14:paraId="20190E55">
            <w:pPr>
              <w:jc w:val="center"/>
              <w:rPr>
                <w:rFonts w:hint="eastAsia" w:ascii="宋体" w:hAnsi="宋体" w:cs="宋体"/>
                <w:bCs/>
                <w:color w:val="auto"/>
                <w:sz w:val="24"/>
                <w:highlight w:val="none"/>
              </w:rPr>
            </w:pPr>
            <w:r>
              <w:rPr>
                <w:rFonts w:hint="eastAsia" w:ascii="宋体" w:hAnsi="宋体" w:cs="宋体"/>
                <w:bCs/>
                <w:color w:val="auto"/>
                <w:sz w:val="24"/>
                <w:highlight w:val="none"/>
              </w:rPr>
              <w:t>方案及计划</w:t>
            </w:r>
          </w:p>
          <w:p w14:paraId="6123D3CF">
            <w:pPr>
              <w:jc w:val="center"/>
              <w:rPr>
                <w:rFonts w:hint="eastAsia" w:ascii="宋体" w:hAnsi="宋体" w:cs="宋体"/>
                <w:bCs/>
                <w:color w:val="auto"/>
                <w:sz w:val="24"/>
                <w:highlight w:val="none"/>
              </w:rPr>
            </w:pPr>
            <w:r>
              <w:rPr>
                <w:rFonts w:hint="eastAsia" w:ascii="宋体" w:hAnsi="宋体" w:cs="宋体"/>
                <w:bCs/>
                <w:color w:val="auto"/>
                <w:sz w:val="24"/>
                <w:highlight w:val="none"/>
              </w:rPr>
              <w:t>（10分）</w:t>
            </w:r>
          </w:p>
        </w:tc>
        <w:tc>
          <w:tcPr>
            <w:tcW w:w="3686" w:type="dxa"/>
            <w:noWrap w:val="0"/>
            <w:vAlign w:val="center"/>
          </w:tcPr>
          <w:p w14:paraId="1CF850AF">
            <w:pPr>
              <w:rPr>
                <w:rFonts w:hint="eastAsia" w:ascii="宋体" w:hAnsi="宋体" w:cs="宋体"/>
                <w:bCs/>
                <w:color w:val="auto"/>
                <w:sz w:val="24"/>
                <w:highlight w:val="none"/>
              </w:rPr>
            </w:pPr>
            <w:r>
              <w:rPr>
                <w:rFonts w:hint="eastAsia" w:ascii="宋体" w:hAnsi="宋体" w:cs="宋体"/>
                <w:bCs/>
                <w:color w:val="auto"/>
                <w:spacing w:val="-14"/>
                <w:sz w:val="24"/>
                <w:highlight w:val="none"/>
              </w:rPr>
              <w:t>方案明确详尽，具体完善，科学合理，与本项目的实</w:t>
            </w:r>
            <w:r>
              <w:rPr>
                <w:rFonts w:hint="eastAsia" w:ascii="宋体" w:hAnsi="宋体" w:cs="宋体"/>
                <w:bCs/>
                <w:color w:val="auto"/>
                <w:spacing w:val="-10"/>
                <w:sz w:val="24"/>
                <w:highlight w:val="none"/>
              </w:rPr>
              <w:t>际情</w:t>
            </w:r>
            <w:r>
              <w:rPr>
                <w:rFonts w:hint="eastAsia" w:ascii="宋体" w:hAnsi="宋体" w:cs="宋体"/>
                <w:bCs/>
                <w:color w:val="auto"/>
                <w:spacing w:val="-9"/>
                <w:sz w:val="24"/>
                <w:highlight w:val="none"/>
              </w:rPr>
              <w:t>况</w:t>
            </w:r>
            <w:r>
              <w:rPr>
                <w:rFonts w:hint="eastAsia" w:ascii="宋体" w:hAnsi="宋体" w:cs="宋体"/>
                <w:bCs/>
                <w:color w:val="auto"/>
                <w:spacing w:val="-5"/>
                <w:sz w:val="24"/>
                <w:highlight w:val="none"/>
              </w:rPr>
              <w:t>契合度高、针对性和操作性强</w:t>
            </w:r>
          </w:p>
        </w:tc>
        <w:tc>
          <w:tcPr>
            <w:tcW w:w="1869" w:type="dxa"/>
            <w:noWrap w:val="0"/>
            <w:vAlign w:val="center"/>
          </w:tcPr>
          <w:p w14:paraId="11272C25">
            <w:pPr>
              <w:widowControl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8</w:t>
            </w:r>
            <w:r>
              <w:rPr>
                <w:rFonts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en-US" w:eastAsia="zh-CN" w:bidi="ar-SA"/>
              </w:rPr>
              <w:t>-10</w:t>
            </w:r>
            <w:r>
              <w:rPr>
                <w:rFonts w:ascii="宋体" w:hAnsi="宋体" w:eastAsia="宋体" w:cs="宋体"/>
                <w:bCs/>
                <w:color w:val="auto"/>
                <w:kern w:val="2"/>
                <w:sz w:val="24"/>
                <w:szCs w:val="24"/>
                <w:highlight w:val="none"/>
                <w:lang w:val="en-US" w:eastAsia="zh-CN" w:bidi="ar-SA"/>
              </w:rPr>
              <w:t>.0</w:t>
            </w:r>
          </w:p>
        </w:tc>
      </w:tr>
      <w:tr w14:paraId="4A32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5284378E">
            <w:pPr>
              <w:jc w:val="center"/>
              <w:rPr>
                <w:rFonts w:hint="eastAsia" w:ascii="宋体" w:hAnsi="宋体" w:cs="宋体"/>
                <w:bCs/>
                <w:color w:val="auto"/>
                <w:sz w:val="24"/>
                <w:highlight w:val="none"/>
              </w:rPr>
            </w:pPr>
          </w:p>
        </w:tc>
        <w:tc>
          <w:tcPr>
            <w:tcW w:w="1128" w:type="dxa"/>
            <w:vMerge w:val="continue"/>
            <w:noWrap w:val="0"/>
            <w:vAlign w:val="center"/>
          </w:tcPr>
          <w:p w14:paraId="43E5C83D">
            <w:pPr>
              <w:jc w:val="center"/>
              <w:rPr>
                <w:rFonts w:hint="eastAsia" w:ascii="宋体" w:hAnsi="宋体" w:cs="宋体"/>
                <w:bCs/>
                <w:color w:val="auto"/>
                <w:sz w:val="24"/>
                <w:highlight w:val="none"/>
              </w:rPr>
            </w:pPr>
          </w:p>
        </w:tc>
        <w:tc>
          <w:tcPr>
            <w:tcW w:w="1565" w:type="dxa"/>
            <w:vMerge w:val="continue"/>
            <w:noWrap w:val="0"/>
            <w:vAlign w:val="center"/>
          </w:tcPr>
          <w:p w14:paraId="45A5C598">
            <w:pPr>
              <w:jc w:val="center"/>
              <w:rPr>
                <w:rFonts w:hint="eastAsia" w:ascii="宋体" w:hAnsi="宋体" w:cs="宋体"/>
                <w:bCs/>
                <w:color w:val="auto"/>
                <w:sz w:val="24"/>
                <w:highlight w:val="none"/>
              </w:rPr>
            </w:pPr>
          </w:p>
        </w:tc>
        <w:tc>
          <w:tcPr>
            <w:tcW w:w="3686" w:type="dxa"/>
            <w:noWrap w:val="0"/>
            <w:vAlign w:val="center"/>
          </w:tcPr>
          <w:p w14:paraId="3B03BC96">
            <w:pPr>
              <w:rPr>
                <w:rFonts w:hint="eastAsia" w:ascii="宋体" w:hAnsi="宋体" w:cs="宋体"/>
                <w:bCs/>
                <w:color w:val="auto"/>
                <w:sz w:val="24"/>
                <w:highlight w:val="none"/>
              </w:rPr>
            </w:pPr>
            <w:r>
              <w:rPr>
                <w:rFonts w:hint="eastAsia" w:ascii="宋体" w:hAnsi="宋体" w:cs="宋体"/>
                <w:bCs/>
                <w:color w:val="auto"/>
                <w:spacing w:val="-10"/>
                <w:sz w:val="24"/>
                <w:highlight w:val="none"/>
              </w:rPr>
              <w:t>方案较明确、较具体，合理可行，与本项目的实际情</w:t>
            </w:r>
            <w:r>
              <w:rPr>
                <w:rFonts w:hint="eastAsia" w:ascii="宋体" w:hAnsi="宋体" w:cs="宋体"/>
                <w:bCs/>
                <w:color w:val="auto"/>
                <w:spacing w:val="-24"/>
                <w:sz w:val="24"/>
                <w:highlight w:val="none"/>
              </w:rPr>
              <w:t>况</w:t>
            </w:r>
            <w:r>
              <w:rPr>
                <w:rFonts w:hint="eastAsia" w:ascii="宋体" w:hAnsi="宋体" w:cs="宋体"/>
                <w:bCs/>
                <w:color w:val="auto"/>
                <w:spacing w:val="-15"/>
                <w:sz w:val="24"/>
                <w:highlight w:val="none"/>
              </w:rPr>
              <w:t>契</w:t>
            </w:r>
            <w:r>
              <w:rPr>
                <w:rFonts w:hint="eastAsia" w:ascii="宋体" w:hAnsi="宋体" w:cs="宋体"/>
                <w:bCs/>
                <w:color w:val="auto"/>
                <w:spacing w:val="-12"/>
                <w:sz w:val="24"/>
                <w:highlight w:val="none"/>
              </w:rPr>
              <w:t>合度较高，可操作</w:t>
            </w:r>
          </w:p>
        </w:tc>
        <w:tc>
          <w:tcPr>
            <w:tcW w:w="1869" w:type="dxa"/>
            <w:noWrap w:val="0"/>
            <w:vAlign w:val="center"/>
          </w:tcPr>
          <w:p w14:paraId="2E9D7EF3">
            <w:pPr>
              <w:widowControl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w:t>
            </w:r>
            <w:r>
              <w:rPr>
                <w:rFonts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en-US" w:eastAsia="zh-CN" w:bidi="ar-SA"/>
              </w:rPr>
              <w:t>-8</w:t>
            </w:r>
            <w:r>
              <w:rPr>
                <w:rFonts w:ascii="宋体" w:hAnsi="宋体" w:eastAsia="宋体" w:cs="宋体"/>
                <w:bCs/>
                <w:color w:val="auto"/>
                <w:kern w:val="2"/>
                <w:sz w:val="24"/>
                <w:szCs w:val="24"/>
                <w:highlight w:val="none"/>
                <w:lang w:val="en-US" w:eastAsia="zh-CN" w:bidi="ar-SA"/>
              </w:rPr>
              <w:t>.0</w:t>
            </w:r>
          </w:p>
        </w:tc>
      </w:tr>
      <w:tr w14:paraId="0C5B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23" w:type="dxa"/>
            <w:vMerge w:val="continue"/>
            <w:noWrap w:val="0"/>
            <w:vAlign w:val="center"/>
          </w:tcPr>
          <w:p w14:paraId="3DDA92D2">
            <w:pPr>
              <w:jc w:val="center"/>
              <w:rPr>
                <w:rFonts w:hint="eastAsia" w:ascii="宋体" w:hAnsi="宋体" w:cs="宋体"/>
                <w:bCs/>
                <w:color w:val="auto"/>
                <w:sz w:val="24"/>
                <w:highlight w:val="none"/>
              </w:rPr>
            </w:pPr>
          </w:p>
        </w:tc>
        <w:tc>
          <w:tcPr>
            <w:tcW w:w="1128" w:type="dxa"/>
            <w:vMerge w:val="continue"/>
            <w:noWrap w:val="0"/>
            <w:vAlign w:val="center"/>
          </w:tcPr>
          <w:p w14:paraId="4C0045B1">
            <w:pPr>
              <w:jc w:val="center"/>
              <w:rPr>
                <w:rFonts w:hint="eastAsia" w:ascii="宋体" w:hAnsi="宋体" w:cs="宋体"/>
                <w:bCs/>
                <w:color w:val="auto"/>
                <w:sz w:val="24"/>
                <w:highlight w:val="none"/>
              </w:rPr>
            </w:pPr>
          </w:p>
        </w:tc>
        <w:tc>
          <w:tcPr>
            <w:tcW w:w="1565" w:type="dxa"/>
            <w:vMerge w:val="continue"/>
            <w:noWrap w:val="0"/>
            <w:vAlign w:val="center"/>
          </w:tcPr>
          <w:p w14:paraId="2EA9FE64">
            <w:pPr>
              <w:jc w:val="center"/>
              <w:rPr>
                <w:rFonts w:hint="eastAsia" w:ascii="宋体" w:hAnsi="宋体" w:cs="宋体"/>
                <w:bCs/>
                <w:color w:val="auto"/>
                <w:sz w:val="24"/>
                <w:highlight w:val="none"/>
              </w:rPr>
            </w:pPr>
          </w:p>
        </w:tc>
        <w:tc>
          <w:tcPr>
            <w:tcW w:w="3686" w:type="dxa"/>
            <w:noWrap w:val="0"/>
            <w:vAlign w:val="center"/>
          </w:tcPr>
          <w:p w14:paraId="09914B3B">
            <w:pPr>
              <w:rPr>
                <w:rFonts w:hint="eastAsia" w:ascii="宋体" w:hAnsi="宋体" w:cs="宋体"/>
                <w:bCs/>
                <w:color w:val="auto"/>
                <w:sz w:val="24"/>
                <w:highlight w:val="none"/>
              </w:rPr>
            </w:pPr>
            <w:r>
              <w:rPr>
                <w:rFonts w:hint="eastAsia" w:ascii="宋体" w:hAnsi="宋体" w:cs="宋体"/>
                <w:bCs/>
                <w:color w:val="auto"/>
                <w:spacing w:val="-1"/>
                <w:sz w:val="24"/>
                <w:highlight w:val="none"/>
              </w:rPr>
              <w:t>基本满足招标文件及项目要求</w:t>
            </w:r>
          </w:p>
        </w:tc>
        <w:tc>
          <w:tcPr>
            <w:tcW w:w="1869" w:type="dxa"/>
            <w:noWrap w:val="0"/>
            <w:vAlign w:val="center"/>
          </w:tcPr>
          <w:p w14:paraId="398B5C3E">
            <w:pPr>
              <w:widowControl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w:t>
            </w:r>
            <w:r>
              <w:rPr>
                <w:rFonts w:ascii="宋体" w:hAnsi="宋体" w:eastAsia="宋体" w:cs="宋体"/>
                <w:bCs/>
                <w:color w:val="auto"/>
                <w:kern w:val="2"/>
                <w:sz w:val="24"/>
                <w:szCs w:val="24"/>
                <w:highlight w:val="none"/>
                <w:lang w:val="en-US" w:eastAsia="zh-CN" w:bidi="ar-SA"/>
              </w:rPr>
              <w:t>.0</w:t>
            </w:r>
          </w:p>
        </w:tc>
      </w:tr>
      <w:tr w14:paraId="67C1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23" w:type="dxa"/>
            <w:vMerge w:val="continue"/>
            <w:noWrap w:val="0"/>
            <w:vAlign w:val="center"/>
          </w:tcPr>
          <w:p w14:paraId="56D7E98C">
            <w:pPr>
              <w:jc w:val="center"/>
              <w:rPr>
                <w:rFonts w:hint="eastAsia" w:ascii="宋体" w:hAnsi="宋体" w:cs="宋体"/>
                <w:bCs/>
                <w:color w:val="auto"/>
                <w:sz w:val="24"/>
                <w:highlight w:val="none"/>
              </w:rPr>
            </w:pPr>
          </w:p>
        </w:tc>
        <w:tc>
          <w:tcPr>
            <w:tcW w:w="1128" w:type="dxa"/>
            <w:vMerge w:val="continue"/>
            <w:noWrap w:val="0"/>
            <w:vAlign w:val="center"/>
          </w:tcPr>
          <w:p w14:paraId="5C2568D4">
            <w:pPr>
              <w:jc w:val="center"/>
              <w:rPr>
                <w:rFonts w:hint="eastAsia" w:ascii="宋体" w:hAnsi="宋体" w:cs="宋体"/>
                <w:bCs/>
                <w:color w:val="auto"/>
                <w:sz w:val="24"/>
                <w:highlight w:val="none"/>
              </w:rPr>
            </w:pPr>
          </w:p>
        </w:tc>
        <w:tc>
          <w:tcPr>
            <w:tcW w:w="1565" w:type="dxa"/>
            <w:vMerge w:val="restart"/>
            <w:noWrap w:val="0"/>
            <w:vAlign w:val="center"/>
          </w:tcPr>
          <w:p w14:paraId="4547F3DC">
            <w:pPr>
              <w:jc w:val="center"/>
              <w:rPr>
                <w:rFonts w:hint="eastAsia" w:ascii="宋体" w:hAnsi="宋体" w:cs="宋体"/>
                <w:bCs/>
                <w:color w:val="auto"/>
                <w:sz w:val="24"/>
                <w:highlight w:val="none"/>
              </w:rPr>
            </w:pPr>
            <w:r>
              <w:rPr>
                <w:rFonts w:hint="eastAsia" w:ascii="宋体" w:hAnsi="宋体" w:cs="宋体"/>
                <w:bCs/>
                <w:color w:val="auto"/>
                <w:sz w:val="24"/>
                <w:highlight w:val="none"/>
              </w:rPr>
              <w:t>服务质量保证措施、应急处理措施及保密措施</w:t>
            </w:r>
          </w:p>
          <w:p w14:paraId="78C239AB">
            <w:pPr>
              <w:jc w:val="center"/>
              <w:rPr>
                <w:rFonts w:hint="eastAsia" w:ascii="宋体" w:hAnsi="宋体" w:cs="宋体"/>
                <w:bCs/>
                <w:color w:val="auto"/>
                <w:sz w:val="24"/>
                <w:highlight w:val="none"/>
              </w:rPr>
            </w:pPr>
            <w:r>
              <w:rPr>
                <w:rFonts w:hint="eastAsia" w:ascii="宋体" w:hAnsi="宋体" w:cs="宋体"/>
                <w:bCs/>
                <w:color w:val="auto"/>
                <w:sz w:val="24"/>
                <w:highlight w:val="none"/>
              </w:rPr>
              <w:t>（5分）</w:t>
            </w:r>
          </w:p>
        </w:tc>
        <w:tc>
          <w:tcPr>
            <w:tcW w:w="3686" w:type="dxa"/>
            <w:noWrap w:val="0"/>
            <w:vAlign w:val="center"/>
          </w:tcPr>
          <w:p w14:paraId="4C9D8F45">
            <w:pPr>
              <w:rPr>
                <w:rFonts w:hint="eastAsia" w:ascii="宋体" w:hAnsi="宋体" w:cs="宋体"/>
                <w:bCs/>
                <w:color w:val="auto"/>
                <w:sz w:val="24"/>
                <w:highlight w:val="none"/>
              </w:rPr>
            </w:pPr>
            <w:r>
              <w:rPr>
                <w:rFonts w:hint="eastAsia" w:ascii="宋体" w:hAnsi="宋体" w:cs="宋体"/>
                <w:bCs/>
                <w:color w:val="auto"/>
                <w:spacing w:val="4"/>
                <w:sz w:val="24"/>
                <w:highlight w:val="none"/>
              </w:rPr>
              <w:t>措施得力，与本项目的实际情况契合度高、可行性</w:t>
            </w:r>
            <w:r>
              <w:rPr>
                <w:rFonts w:hint="eastAsia" w:ascii="宋体" w:hAnsi="宋体" w:cs="宋体"/>
                <w:bCs/>
                <w:color w:val="auto"/>
                <w:spacing w:val="3"/>
                <w:sz w:val="24"/>
                <w:highlight w:val="none"/>
              </w:rPr>
              <w:t>强</w:t>
            </w:r>
            <w:r>
              <w:rPr>
                <w:rFonts w:hint="eastAsia" w:ascii="宋体" w:hAnsi="宋体" w:cs="宋体"/>
                <w:bCs/>
                <w:color w:val="auto"/>
                <w:spacing w:val="-17"/>
                <w:sz w:val="24"/>
                <w:highlight w:val="none"/>
              </w:rPr>
              <w:t>且</w:t>
            </w:r>
            <w:r>
              <w:rPr>
                <w:rFonts w:hint="eastAsia" w:ascii="宋体" w:hAnsi="宋体" w:cs="宋体"/>
                <w:bCs/>
                <w:color w:val="auto"/>
                <w:spacing w:val="-11"/>
                <w:sz w:val="24"/>
                <w:highlight w:val="none"/>
              </w:rPr>
              <w:t>有承诺</w:t>
            </w:r>
          </w:p>
        </w:tc>
        <w:tc>
          <w:tcPr>
            <w:tcW w:w="1869" w:type="dxa"/>
            <w:noWrap w:val="0"/>
            <w:vAlign w:val="center"/>
          </w:tcPr>
          <w:p w14:paraId="3698E1AC">
            <w:pPr>
              <w:widowControl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w:t>
            </w:r>
            <w:r>
              <w:rPr>
                <w:rFonts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en-US" w:eastAsia="zh-CN" w:bidi="ar-SA"/>
              </w:rPr>
              <w:t>-5</w:t>
            </w:r>
            <w:r>
              <w:rPr>
                <w:rFonts w:ascii="宋体" w:hAnsi="宋体" w:eastAsia="宋体" w:cs="宋体"/>
                <w:bCs/>
                <w:color w:val="auto"/>
                <w:kern w:val="2"/>
                <w:sz w:val="24"/>
                <w:szCs w:val="24"/>
                <w:highlight w:val="none"/>
                <w:lang w:val="en-US" w:eastAsia="zh-CN" w:bidi="ar-SA"/>
              </w:rPr>
              <w:t>.0</w:t>
            </w:r>
          </w:p>
        </w:tc>
      </w:tr>
      <w:tr w14:paraId="3D33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23" w:type="dxa"/>
            <w:vMerge w:val="continue"/>
            <w:noWrap w:val="0"/>
            <w:vAlign w:val="center"/>
          </w:tcPr>
          <w:p w14:paraId="73C73B2D">
            <w:pPr>
              <w:jc w:val="center"/>
              <w:rPr>
                <w:rFonts w:hint="eastAsia" w:ascii="宋体" w:hAnsi="宋体" w:cs="宋体"/>
                <w:bCs/>
                <w:color w:val="auto"/>
                <w:sz w:val="24"/>
                <w:highlight w:val="none"/>
              </w:rPr>
            </w:pPr>
          </w:p>
        </w:tc>
        <w:tc>
          <w:tcPr>
            <w:tcW w:w="1128" w:type="dxa"/>
            <w:vMerge w:val="continue"/>
            <w:noWrap w:val="0"/>
            <w:vAlign w:val="center"/>
          </w:tcPr>
          <w:p w14:paraId="3B6A9A1B">
            <w:pPr>
              <w:jc w:val="center"/>
              <w:rPr>
                <w:rFonts w:hint="eastAsia" w:ascii="宋体" w:hAnsi="宋体" w:cs="宋体"/>
                <w:bCs/>
                <w:color w:val="auto"/>
                <w:sz w:val="24"/>
                <w:highlight w:val="none"/>
              </w:rPr>
            </w:pPr>
          </w:p>
        </w:tc>
        <w:tc>
          <w:tcPr>
            <w:tcW w:w="1565" w:type="dxa"/>
            <w:vMerge w:val="continue"/>
            <w:noWrap w:val="0"/>
            <w:vAlign w:val="center"/>
          </w:tcPr>
          <w:p w14:paraId="0999D5DE">
            <w:pPr>
              <w:jc w:val="center"/>
              <w:rPr>
                <w:rFonts w:hint="eastAsia" w:ascii="宋体" w:hAnsi="宋体" w:cs="宋体"/>
                <w:bCs/>
                <w:color w:val="auto"/>
                <w:sz w:val="24"/>
                <w:highlight w:val="none"/>
              </w:rPr>
            </w:pPr>
          </w:p>
        </w:tc>
        <w:tc>
          <w:tcPr>
            <w:tcW w:w="3686" w:type="dxa"/>
            <w:noWrap w:val="0"/>
            <w:vAlign w:val="center"/>
          </w:tcPr>
          <w:p w14:paraId="51D9C70C">
            <w:pPr>
              <w:rPr>
                <w:rFonts w:hint="eastAsia" w:ascii="宋体" w:hAnsi="宋体" w:cs="宋体"/>
                <w:bCs/>
                <w:color w:val="auto"/>
                <w:sz w:val="24"/>
                <w:highlight w:val="none"/>
              </w:rPr>
            </w:pPr>
            <w:r>
              <w:rPr>
                <w:rFonts w:hint="eastAsia" w:ascii="宋体" w:hAnsi="宋体" w:cs="宋体"/>
                <w:bCs/>
                <w:color w:val="auto"/>
                <w:spacing w:val="8"/>
                <w:sz w:val="24"/>
                <w:highlight w:val="none"/>
              </w:rPr>
              <w:t>与</w:t>
            </w:r>
            <w:r>
              <w:rPr>
                <w:rFonts w:hint="eastAsia" w:ascii="宋体" w:hAnsi="宋体" w:cs="宋体"/>
                <w:bCs/>
                <w:color w:val="auto"/>
                <w:spacing w:val="4"/>
                <w:sz w:val="24"/>
                <w:highlight w:val="none"/>
              </w:rPr>
              <w:t>本项目的实际情况契合度较高，合理可行</w:t>
            </w:r>
          </w:p>
        </w:tc>
        <w:tc>
          <w:tcPr>
            <w:tcW w:w="1869" w:type="dxa"/>
            <w:noWrap w:val="0"/>
            <w:vAlign w:val="center"/>
          </w:tcPr>
          <w:p w14:paraId="5892FC32">
            <w:pPr>
              <w:widowControl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w:t>
            </w:r>
            <w:r>
              <w:rPr>
                <w:rFonts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en-US" w:eastAsia="zh-CN" w:bidi="ar-SA"/>
              </w:rPr>
              <w:t>-4</w:t>
            </w:r>
            <w:r>
              <w:rPr>
                <w:rFonts w:ascii="宋体" w:hAnsi="宋体" w:eastAsia="宋体" w:cs="宋体"/>
                <w:bCs/>
                <w:color w:val="auto"/>
                <w:kern w:val="2"/>
                <w:sz w:val="24"/>
                <w:szCs w:val="24"/>
                <w:highlight w:val="none"/>
                <w:lang w:val="en-US" w:eastAsia="zh-CN" w:bidi="ar-SA"/>
              </w:rPr>
              <w:t>.0</w:t>
            </w:r>
          </w:p>
        </w:tc>
      </w:tr>
      <w:tr w14:paraId="0053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23" w:type="dxa"/>
            <w:vMerge w:val="continue"/>
            <w:noWrap w:val="0"/>
            <w:vAlign w:val="center"/>
          </w:tcPr>
          <w:p w14:paraId="34B0A842">
            <w:pPr>
              <w:jc w:val="center"/>
              <w:rPr>
                <w:rFonts w:hint="eastAsia" w:ascii="宋体" w:hAnsi="宋体" w:cs="宋体"/>
                <w:bCs/>
                <w:color w:val="auto"/>
                <w:sz w:val="24"/>
                <w:highlight w:val="none"/>
              </w:rPr>
            </w:pPr>
          </w:p>
        </w:tc>
        <w:tc>
          <w:tcPr>
            <w:tcW w:w="1128" w:type="dxa"/>
            <w:vMerge w:val="continue"/>
            <w:noWrap w:val="0"/>
            <w:vAlign w:val="center"/>
          </w:tcPr>
          <w:p w14:paraId="7AB9ADCA">
            <w:pPr>
              <w:jc w:val="center"/>
              <w:rPr>
                <w:rFonts w:hint="eastAsia" w:ascii="宋体" w:hAnsi="宋体" w:cs="宋体"/>
                <w:bCs/>
                <w:color w:val="auto"/>
                <w:sz w:val="24"/>
                <w:highlight w:val="none"/>
              </w:rPr>
            </w:pPr>
          </w:p>
        </w:tc>
        <w:tc>
          <w:tcPr>
            <w:tcW w:w="1565" w:type="dxa"/>
            <w:vMerge w:val="continue"/>
            <w:noWrap w:val="0"/>
            <w:vAlign w:val="center"/>
          </w:tcPr>
          <w:p w14:paraId="7FE6BC17">
            <w:pPr>
              <w:jc w:val="center"/>
              <w:rPr>
                <w:rFonts w:hint="eastAsia" w:ascii="宋体" w:hAnsi="宋体" w:cs="宋体"/>
                <w:bCs/>
                <w:color w:val="auto"/>
                <w:sz w:val="24"/>
                <w:highlight w:val="none"/>
              </w:rPr>
            </w:pPr>
          </w:p>
        </w:tc>
        <w:tc>
          <w:tcPr>
            <w:tcW w:w="3686" w:type="dxa"/>
            <w:noWrap w:val="0"/>
            <w:vAlign w:val="center"/>
          </w:tcPr>
          <w:p w14:paraId="0ED923D1">
            <w:pPr>
              <w:rPr>
                <w:rFonts w:hint="eastAsia" w:ascii="宋体" w:hAnsi="宋体" w:cs="宋体"/>
                <w:bCs/>
                <w:color w:val="auto"/>
                <w:sz w:val="24"/>
                <w:highlight w:val="none"/>
              </w:rPr>
            </w:pPr>
            <w:r>
              <w:rPr>
                <w:rFonts w:hint="eastAsia" w:ascii="宋体" w:hAnsi="宋体" w:cs="宋体"/>
                <w:bCs/>
                <w:color w:val="auto"/>
                <w:spacing w:val="-1"/>
                <w:sz w:val="24"/>
                <w:highlight w:val="none"/>
              </w:rPr>
              <w:t>基本满足招标文件及项目要求</w:t>
            </w:r>
          </w:p>
        </w:tc>
        <w:tc>
          <w:tcPr>
            <w:tcW w:w="1869" w:type="dxa"/>
            <w:noWrap w:val="0"/>
            <w:vAlign w:val="center"/>
          </w:tcPr>
          <w:p w14:paraId="2EFE8F8E">
            <w:pPr>
              <w:widowControl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ascii="宋体" w:hAnsi="宋体" w:eastAsia="宋体" w:cs="Times New Roman"/>
                <w:color w:val="auto"/>
                <w:kern w:val="2"/>
                <w:sz w:val="24"/>
                <w:szCs w:val="24"/>
                <w:highlight w:val="none"/>
                <w:lang w:val="en-US" w:eastAsia="zh-CN" w:bidi="ar-SA"/>
              </w:rPr>
              <w:t>.0</w:t>
            </w:r>
          </w:p>
        </w:tc>
      </w:tr>
      <w:tr w14:paraId="30A5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3" w:type="dxa"/>
            <w:vMerge w:val="restart"/>
            <w:noWrap w:val="0"/>
            <w:vAlign w:val="center"/>
          </w:tcPr>
          <w:p w14:paraId="2E157A90">
            <w:pPr>
              <w:jc w:val="center"/>
              <w:rPr>
                <w:rFonts w:hint="eastAsia" w:ascii="宋体" w:hAnsi="宋体" w:cs="宋体"/>
                <w:bCs/>
                <w:color w:val="auto"/>
                <w:sz w:val="24"/>
                <w:highlight w:val="none"/>
              </w:rPr>
            </w:pPr>
            <w:r>
              <w:rPr>
                <w:rFonts w:hint="eastAsia" w:ascii="宋体" w:hAnsi="宋体" w:cs="宋体"/>
                <w:bCs/>
                <w:color w:val="auto"/>
                <w:sz w:val="24"/>
                <w:highlight w:val="none"/>
              </w:rPr>
              <w:t>2.2.4（2）</w:t>
            </w:r>
          </w:p>
        </w:tc>
        <w:tc>
          <w:tcPr>
            <w:tcW w:w="2693" w:type="dxa"/>
            <w:gridSpan w:val="2"/>
            <w:vMerge w:val="restart"/>
            <w:noWrap w:val="0"/>
            <w:vAlign w:val="center"/>
          </w:tcPr>
          <w:p w14:paraId="7C461AE9">
            <w:pPr>
              <w:jc w:val="center"/>
              <w:rPr>
                <w:rFonts w:hint="eastAsia" w:ascii="宋体" w:hAnsi="宋体" w:cs="宋体"/>
                <w:bCs/>
                <w:color w:val="auto"/>
                <w:sz w:val="24"/>
                <w:highlight w:val="none"/>
              </w:rPr>
            </w:pPr>
            <w:r>
              <w:rPr>
                <w:rFonts w:hint="eastAsia" w:ascii="宋体" w:hAnsi="宋体" w:cs="宋体"/>
                <w:bCs/>
                <w:color w:val="auto"/>
                <w:sz w:val="24"/>
                <w:highlight w:val="none"/>
              </w:rPr>
              <w:t>企业业绩</w:t>
            </w:r>
          </w:p>
          <w:p w14:paraId="3F23504E">
            <w:pPr>
              <w:jc w:val="center"/>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分）</w:t>
            </w:r>
          </w:p>
        </w:tc>
        <w:tc>
          <w:tcPr>
            <w:tcW w:w="5555" w:type="dxa"/>
            <w:gridSpan w:val="2"/>
            <w:noWrap w:val="0"/>
            <w:vAlign w:val="center"/>
          </w:tcPr>
          <w:p w14:paraId="0C91F725">
            <w:pPr>
              <w:rPr>
                <w:rFonts w:hint="eastAsia" w:ascii="宋体" w:hAnsi="宋体" w:cs="宋体"/>
                <w:bCs/>
                <w:color w:val="auto"/>
                <w:sz w:val="24"/>
                <w:highlight w:val="none"/>
              </w:rPr>
            </w:pPr>
            <w:r>
              <w:rPr>
                <w:rFonts w:ascii="宋体" w:hAnsi="宋体"/>
                <w:snapToGrid w:val="0"/>
                <w:color w:val="auto"/>
                <w:kern w:val="0"/>
                <w:sz w:val="24"/>
                <w:highlight w:val="none"/>
              </w:rPr>
              <w:t>满足附录</w:t>
            </w:r>
            <w:r>
              <w:rPr>
                <w:rFonts w:hint="eastAsia" w:ascii="宋体" w:hAnsi="宋体"/>
                <w:snapToGrid w:val="0"/>
                <w:color w:val="auto"/>
                <w:kern w:val="0"/>
                <w:sz w:val="24"/>
                <w:highlight w:val="none"/>
              </w:rPr>
              <w:t>2</w:t>
            </w:r>
            <w:r>
              <w:rPr>
                <w:rFonts w:ascii="宋体" w:hAnsi="宋体"/>
                <w:snapToGrid w:val="0"/>
                <w:color w:val="auto"/>
                <w:kern w:val="0"/>
                <w:sz w:val="24"/>
                <w:highlight w:val="none"/>
              </w:rPr>
              <w:t>资格审查条件（</w:t>
            </w:r>
            <w:r>
              <w:rPr>
                <w:rFonts w:hint="eastAsia" w:ascii="宋体" w:hAnsi="宋体"/>
                <w:snapToGrid w:val="0"/>
                <w:color w:val="auto"/>
                <w:kern w:val="0"/>
                <w:sz w:val="24"/>
                <w:highlight w:val="none"/>
              </w:rPr>
              <w:t>业绩</w:t>
            </w:r>
            <w:r>
              <w:rPr>
                <w:rFonts w:ascii="宋体" w:hAnsi="宋体"/>
                <w:snapToGrid w:val="0"/>
                <w:color w:val="auto"/>
                <w:kern w:val="0"/>
                <w:sz w:val="24"/>
                <w:highlight w:val="none"/>
              </w:rPr>
              <w:t>最低要求）的，得</w:t>
            </w:r>
            <w:r>
              <w:rPr>
                <w:rFonts w:hint="eastAsia" w:ascii="宋体" w:hAnsi="宋体"/>
                <w:snapToGrid w:val="0"/>
                <w:color w:val="auto"/>
                <w:kern w:val="0"/>
                <w:sz w:val="24"/>
                <w:highlight w:val="none"/>
                <w:lang w:val="en-US" w:eastAsia="zh-CN"/>
              </w:rPr>
              <w:t>6</w:t>
            </w:r>
            <w:r>
              <w:rPr>
                <w:rFonts w:ascii="宋体" w:hAnsi="宋体"/>
                <w:snapToGrid w:val="0"/>
                <w:color w:val="auto"/>
                <w:kern w:val="0"/>
                <w:sz w:val="24"/>
                <w:highlight w:val="none"/>
              </w:rPr>
              <w:t>分</w:t>
            </w:r>
          </w:p>
        </w:tc>
      </w:tr>
      <w:tr w14:paraId="1B5C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3" w:type="dxa"/>
            <w:vMerge w:val="continue"/>
            <w:noWrap w:val="0"/>
            <w:vAlign w:val="center"/>
          </w:tcPr>
          <w:p w14:paraId="6D3BAD5F">
            <w:pPr>
              <w:jc w:val="center"/>
              <w:rPr>
                <w:rFonts w:hint="eastAsia" w:ascii="宋体" w:hAnsi="宋体" w:cs="宋体"/>
                <w:bCs/>
                <w:color w:val="auto"/>
                <w:sz w:val="24"/>
                <w:highlight w:val="none"/>
              </w:rPr>
            </w:pPr>
          </w:p>
        </w:tc>
        <w:tc>
          <w:tcPr>
            <w:tcW w:w="2693" w:type="dxa"/>
            <w:gridSpan w:val="2"/>
            <w:vMerge w:val="continue"/>
            <w:noWrap w:val="0"/>
            <w:vAlign w:val="center"/>
          </w:tcPr>
          <w:p w14:paraId="1A831DB6">
            <w:pPr>
              <w:jc w:val="center"/>
              <w:rPr>
                <w:rFonts w:hint="eastAsia" w:ascii="宋体" w:hAnsi="宋体" w:cs="宋体"/>
                <w:bCs/>
                <w:color w:val="auto"/>
                <w:sz w:val="24"/>
                <w:highlight w:val="none"/>
              </w:rPr>
            </w:pPr>
          </w:p>
        </w:tc>
        <w:tc>
          <w:tcPr>
            <w:tcW w:w="5555" w:type="dxa"/>
            <w:gridSpan w:val="2"/>
            <w:noWrap w:val="0"/>
            <w:vAlign w:val="center"/>
          </w:tcPr>
          <w:p w14:paraId="5315D5F6">
            <w:pPr>
              <w:rPr>
                <w:rFonts w:hint="eastAsia" w:ascii="宋体" w:hAnsi="宋体" w:cs="宋体"/>
                <w:bCs/>
                <w:color w:val="auto"/>
                <w:sz w:val="24"/>
                <w:highlight w:val="none"/>
              </w:rPr>
            </w:pPr>
            <w:r>
              <w:rPr>
                <w:rFonts w:ascii="宋体" w:hAnsi="宋体"/>
                <w:snapToGrid w:val="0"/>
                <w:color w:val="auto"/>
                <w:kern w:val="0"/>
                <w:sz w:val="24"/>
                <w:highlight w:val="none"/>
              </w:rPr>
              <w:t>近3年内（202</w:t>
            </w:r>
            <w:r>
              <w:rPr>
                <w:rFonts w:hint="eastAsia" w:ascii="宋体" w:hAnsi="宋体"/>
                <w:snapToGrid w:val="0"/>
                <w:color w:val="auto"/>
                <w:kern w:val="0"/>
                <w:sz w:val="24"/>
                <w:highlight w:val="none"/>
                <w:lang w:val="en-US" w:eastAsia="zh-CN"/>
              </w:rPr>
              <w:t>3</w:t>
            </w:r>
            <w:r>
              <w:rPr>
                <w:rFonts w:ascii="宋体" w:hAnsi="宋体"/>
                <w:snapToGrid w:val="0"/>
                <w:color w:val="auto"/>
                <w:kern w:val="0"/>
                <w:sz w:val="24"/>
                <w:highlight w:val="none"/>
              </w:rPr>
              <w:t>年</w:t>
            </w:r>
            <w:r>
              <w:rPr>
                <w:rFonts w:hint="eastAsia" w:ascii="宋体" w:hAnsi="宋体"/>
                <w:snapToGrid w:val="0"/>
                <w:color w:val="auto"/>
                <w:kern w:val="0"/>
                <w:sz w:val="24"/>
                <w:highlight w:val="none"/>
                <w:lang w:eastAsia="zh-CN"/>
              </w:rPr>
              <w:t>2月</w:t>
            </w:r>
            <w:r>
              <w:rPr>
                <w:rFonts w:ascii="宋体" w:hAnsi="宋体"/>
                <w:snapToGrid w:val="0"/>
                <w:color w:val="auto"/>
                <w:kern w:val="0"/>
                <w:sz w:val="24"/>
                <w:highlight w:val="none"/>
              </w:rPr>
              <w:t>1日至今）每</w:t>
            </w:r>
            <w:r>
              <w:rPr>
                <w:rFonts w:hint="eastAsia" w:ascii="宋体" w:hAnsi="宋体"/>
                <w:snapToGrid w:val="0"/>
                <w:color w:val="auto"/>
                <w:kern w:val="0"/>
                <w:sz w:val="24"/>
                <w:highlight w:val="none"/>
              </w:rPr>
              <w:t>增加1项</w:t>
            </w:r>
            <w:r>
              <w:rPr>
                <w:rFonts w:ascii="宋体" w:hAnsi="宋体"/>
                <w:snapToGrid w:val="0"/>
                <w:color w:val="auto"/>
                <w:kern w:val="0"/>
                <w:sz w:val="24"/>
                <w:highlight w:val="none"/>
              </w:rPr>
              <w:t>满足附录2资格审查条件（业绩最低要求）的业绩加</w:t>
            </w:r>
            <w:r>
              <w:rPr>
                <w:rFonts w:hint="eastAsia" w:ascii="宋体" w:hAnsi="宋体"/>
                <w:snapToGrid w:val="0"/>
                <w:color w:val="auto"/>
                <w:kern w:val="0"/>
                <w:sz w:val="24"/>
                <w:highlight w:val="none"/>
                <w:lang w:val="en-US" w:eastAsia="zh-CN"/>
              </w:rPr>
              <w:t>2</w:t>
            </w:r>
            <w:r>
              <w:rPr>
                <w:rFonts w:ascii="宋体" w:hAnsi="宋体"/>
                <w:snapToGrid w:val="0"/>
                <w:color w:val="auto"/>
                <w:kern w:val="0"/>
                <w:sz w:val="24"/>
                <w:highlight w:val="none"/>
              </w:rPr>
              <w:t>分，最多加</w:t>
            </w:r>
            <w:r>
              <w:rPr>
                <w:rFonts w:hint="eastAsia" w:ascii="宋体" w:hAnsi="宋体"/>
                <w:snapToGrid w:val="0"/>
                <w:color w:val="auto"/>
                <w:kern w:val="0"/>
                <w:sz w:val="24"/>
                <w:highlight w:val="none"/>
                <w:lang w:val="en-US" w:eastAsia="zh-CN"/>
              </w:rPr>
              <w:t>4</w:t>
            </w:r>
            <w:r>
              <w:rPr>
                <w:rFonts w:ascii="宋体" w:hAnsi="宋体"/>
                <w:snapToGrid w:val="0"/>
                <w:color w:val="auto"/>
                <w:kern w:val="0"/>
                <w:sz w:val="24"/>
                <w:highlight w:val="none"/>
              </w:rPr>
              <w:t>分。</w:t>
            </w:r>
          </w:p>
        </w:tc>
      </w:tr>
      <w:tr w14:paraId="149F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3" w:type="dxa"/>
            <w:vMerge w:val="restart"/>
            <w:noWrap w:val="0"/>
            <w:vAlign w:val="center"/>
          </w:tcPr>
          <w:p w14:paraId="5C1FB2F1">
            <w:pPr>
              <w:jc w:val="center"/>
              <w:rPr>
                <w:rFonts w:hint="eastAsia" w:ascii="宋体" w:hAnsi="宋体" w:cs="宋体"/>
                <w:bCs/>
                <w:color w:val="auto"/>
                <w:sz w:val="24"/>
                <w:highlight w:val="none"/>
              </w:rPr>
            </w:pPr>
            <w:r>
              <w:rPr>
                <w:rFonts w:hint="eastAsia" w:ascii="宋体" w:hAnsi="宋体" w:cs="宋体"/>
                <w:bCs/>
                <w:color w:val="auto"/>
                <w:sz w:val="24"/>
                <w:highlight w:val="none"/>
              </w:rPr>
              <w:t>2.2.4（3）</w:t>
            </w:r>
          </w:p>
        </w:tc>
        <w:tc>
          <w:tcPr>
            <w:tcW w:w="2693" w:type="dxa"/>
            <w:gridSpan w:val="2"/>
            <w:vMerge w:val="restart"/>
            <w:noWrap w:val="0"/>
            <w:vAlign w:val="center"/>
          </w:tcPr>
          <w:p w14:paraId="6E4C5E5C">
            <w:pPr>
              <w:jc w:val="center"/>
              <w:rPr>
                <w:rFonts w:hint="eastAsia" w:ascii="宋体" w:hAnsi="宋体" w:cs="宋体"/>
                <w:bCs/>
                <w:color w:val="auto"/>
                <w:sz w:val="24"/>
                <w:highlight w:val="none"/>
              </w:rPr>
            </w:pPr>
            <w:r>
              <w:rPr>
                <w:rFonts w:hint="eastAsia" w:ascii="宋体" w:hAnsi="宋体" w:cs="宋体"/>
                <w:bCs/>
                <w:color w:val="auto"/>
                <w:sz w:val="24"/>
                <w:highlight w:val="none"/>
              </w:rPr>
              <w:t>项目负责人（</w:t>
            </w: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0</w:t>
            </w:r>
            <w:r>
              <w:rPr>
                <w:rFonts w:hint="eastAsia" w:ascii="宋体" w:hAnsi="宋体" w:cs="宋体"/>
                <w:bCs/>
                <w:color w:val="auto"/>
                <w:sz w:val="24"/>
                <w:highlight w:val="none"/>
              </w:rPr>
              <w:t>分）</w:t>
            </w:r>
          </w:p>
        </w:tc>
        <w:tc>
          <w:tcPr>
            <w:tcW w:w="5555" w:type="dxa"/>
            <w:gridSpan w:val="2"/>
            <w:noWrap w:val="0"/>
            <w:vAlign w:val="center"/>
          </w:tcPr>
          <w:p w14:paraId="3BE0887E">
            <w:pPr>
              <w:jc w:val="left"/>
              <w:rPr>
                <w:rFonts w:hint="eastAsia" w:ascii="宋体" w:hAnsi="宋体" w:cs="宋体"/>
                <w:bCs/>
                <w:color w:val="auto"/>
                <w:sz w:val="24"/>
                <w:highlight w:val="none"/>
              </w:rPr>
            </w:pPr>
            <w:r>
              <w:rPr>
                <w:rFonts w:ascii="宋体" w:hAnsi="宋体"/>
                <w:snapToGrid w:val="0"/>
                <w:color w:val="auto"/>
                <w:kern w:val="0"/>
                <w:sz w:val="24"/>
                <w:highlight w:val="none"/>
              </w:rPr>
              <w:t>满足附录4资格审查条件（</w:t>
            </w:r>
            <w:r>
              <w:rPr>
                <w:rFonts w:hint="eastAsia" w:ascii="宋体" w:hAnsi="宋体"/>
                <w:snapToGrid w:val="0"/>
                <w:color w:val="auto"/>
                <w:kern w:val="0"/>
                <w:sz w:val="24"/>
                <w:highlight w:val="none"/>
              </w:rPr>
              <w:t>主要人员最低要求</w:t>
            </w:r>
            <w:r>
              <w:rPr>
                <w:rFonts w:ascii="宋体" w:hAnsi="宋体"/>
                <w:snapToGrid w:val="0"/>
                <w:color w:val="auto"/>
                <w:kern w:val="0"/>
                <w:sz w:val="24"/>
                <w:highlight w:val="none"/>
              </w:rPr>
              <w:t>）的，得</w:t>
            </w:r>
            <w:r>
              <w:rPr>
                <w:rFonts w:hint="eastAsia" w:ascii="宋体" w:hAnsi="宋体"/>
                <w:snapToGrid w:val="0"/>
                <w:color w:val="auto"/>
                <w:kern w:val="0"/>
                <w:sz w:val="24"/>
                <w:highlight w:val="none"/>
                <w:lang w:val="en-US" w:eastAsia="zh-CN"/>
              </w:rPr>
              <w:t>6</w:t>
            </w:r>
            <w:r>
              <w:rPr>
                <w:rFonts w:ascii="宋体" w:hAnsi="宋体"/>
                <w:snapToGrid w:val="0"/>
                <w:color w:val="auto"/>
                <w:kern w:val="0"/>
                <w:sz w:val="24"/>
                <w:highlight w:val="none"/>
              </w:rPr>
              <w:t>分</w:t>
            </w:r>
          </w:p>
        </w:tc>
      </w:tr>
      <w:tr w14:paraId="1FA7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3" w:type="dxa"/>
            <w:vMerge w:val="continue"/>
            <w:noWrap w:val="0"/>
            <w:vAlign w:val="center"/>
          </w:tcPr>
          <w:p w14:paraId="027E11D5">
            <w:pPr>
              <w:jc w:val="center"/>
              <w:rPr>
                <w:rFonts w:hint="eastAsia" w:ascii="宋体" w:hAnsi="宋体" w:cs="宋体"/>
                <w:bCs/>
                <w:color w:val="auto"/>
                <w:sz w:val="24"/>
                <w:highlight w:val="none"/>
              </w:rPr>
            </w:pPr>
          </w:p>
        </w:tc>
        <w:tc>
          <w:tcPr>
            <w:tcW w:w="2693" w:type="dxa"/>
            <w:gridSpan w:val="2"/>
            <w:vMerge w:val="continue"/>
            <w:noWrap w:val="0"/>
            <w:vAlign w:val="center"/>
          </w:tcPr>
          <w:p w14:paraId="2BF65DDF">
            <w:pPr>
              <w:jc w:val="center"/>
              <w:rPr>
                <w:rFonts w:hint="eastAsia" w:ascii="宋体" w:hAnsi="宋体" w:cs="宋体"/>
                <w:bCs/>
                <w:color w:val="auto"/>
                <w:sz w:val="24"/>
                <w:highlight w:val="none"/>
              </w:rPr>
            </w:pPr>
          </w:p>
        </w:tc>
        <w:tc>
          <w:tcPr>
            <w:tcW w:w="5555" w:type="dxa"/>
            <w:gridSpan w:val="2"/>
            <w:noWrap w:val="0"/>
            <w:vAlign w:val="center"/>
          </w:tcPr>
          <w:p w14:paraId="7F16079C">
            <w:pPr>
              <w:jc w:val="left"/>
              <w:rPr>
                <w:rFonts w:hint="eastAsia" w:ascii="宋体" w:hAnsi="宋体" w:cs="宋体"/>
                <w:bCs/>
                <w:color w:val="auto"/>
                <w:sz w:val="24"/>
                <w:highlight w:val="none"/>
              </w:rPr>
            </w:pPr>
            <w:r>
              <w:rPr>
                <w:rFonts w:ascii="宋体" w:hAnsi="宋体"/>
                <w:snapToGrid w:val="0"/>
                <w:color w:val="auto"/>
                <w:kern w:val="0"/>
                <w:sz w:val="24"/>
                <w:highlight w:val="none"/>
              </w:rPr>
              <w:t>近3年内（202</w:t>
            </w:r>
            <w:r>
              <w:rPr>
                <w:rFonts w:hint="eastAsia" w:ascii="宋体" w:hAnsi="宋体"/>
                <w:snapToGrid w:val="0"/>
                <w:color w:val="auto"/>
                <w:kern w:val="0"/>
                <w:sz w:val="24"/>
                <w:highlight w:val="none"/>
                <w:lang w:val="en-US" w:eastAsia="zh-CN"/>
              </w:rPr>
              <w:t>3</w:t>
            </w:r>
            <w:r>
              <w:rPr>
                <w:rFonts w:ascii="宋体" w:hAnsi="宋体"/>
                <w:snapToGrid w:val="0"/>
                <w:color w:val="auto"/>
                <w:kern w:val="0"/>
                <w:sz w:val="24"/>
                <w:highlight w:val="none"/>
              </w:rPr>
              <w:t>年</w:t>
            </w:r>
            <w:r>
              <w:rPr>
                <w:rFonts w:hint="eastAsia" w:ascii="宋体" w:hAnsi="宋体"/>
                <w:snapToGrid w:val="0"/>
                <w:color w:val="auto"/>
                <w:kern w:val="0"/>
                <w:sz w:val="24"/>
                <w:highlight w:val="none"/>
                <w:lang w:eastAsia="zh-CN"/>
              </w:rPr>
              <w:t>2月</w:t>
            </w:r>
            <w:r>
              <w:rPr>
                <w:rFonts w:ascii="宋体" w:hAnsi="宋体"/>
                <w:snapToGrid w:val="0"/>
                <w:color w:val="auto"/>
                <w:kern w:val="0"/>
                <w:sz w:val="24"/>
                <w:highlight w:val="none"/>
              </w:rPr>
              <w:t>1日至今）每</w:t>
            </w:r>
            <w:r>
              <w:rPr>
                <w:rFonts w:hint="eastAsia" w:ascii="宋体" w:hAnsi="宋体"/>
                <w:snapToGrid w:val="0"/>
                <w:color w:val="auto"/>
                <w:kern w:val="0"/>
                <w:sz w:val="24"/>
                <w:highlight w:val="none"/>
              </w:rPr>
              <w:t>增加1项</w:t>
            </w:r>
            <w:r>
              <w:rPr>
                <w:rFonts w:ascii="宋体" w:hAnsi="宋体"/>
                <w:snapToGrid w:val="0"/>
                <w:color w:val="auto"/>
                <w:kern w:val="0"/>
                <w:sz w:val="24"/>
                <w:highlight w:val="none"/>
              </w:rPr>
              <w:t>满足附录4资格审查条件（</w:t>
            </w:r>
            <w:r>
              <w:rPr>
                <w:rFonts w:hint="eastAsia" w:ascii="宋体" w:hAnsi="宋体"/>
                <w:snapToGrid w:val="0"/>
                <w:color w:val="auto"/>
                <w:kern w:val="0"/>
                <w:sz w:val="24"/>
                <w:highlight w:val="none"/>
              </w:rPr>
              <w:t>主要人员最低要求</w:t>
            </w:r>
            <w:r>
              <w:rPr>
                <w:rFonts w:ascii="宋体" w:hAnsi="宋体"/>
                <w:snapToGrid w:val="0"/>
                <w:color w:val="auto"/>
                <w:kern w:val="0"/>
                <w:sz w:val="24"/>
                <w:highlight w:val="none"/>
              </w:rPr>
              <w:t>）的业绩加</w:t>
            </w:r>
            <w:r>
              <w:rPr>
                <w:rFonts w:hint="eastAsia" w:ascii="宋体" w:hAnsi="宋体"/>
                <w:snapToGrid w:val="0"/>
                <w:color w:val="auto"/>
                <w:kern w:val="0"/>
                <w:sz w:val="24"/>
                <w:highlight w:val="none"/>
                <w:lang w:val="en-US" w:eastAsia="zh-CN"/>
              </w:rPr>
              <w:t>2</w:t>
            </w:r>
            <w:r>
              <w:rPr>
                <w:rFonts w:ascii="宋体" w:hAnsi="宋体"/>
                <w:snapToGrid w:val="0"/>
                <w:color w:val="auto"/>
                <w:kern w:val="0"/>
                <w:sz w:val="24"/>
                <w:highlight w:val="none"/>
              </w:rPr>
              <w:t>分，最多加</w:t>
            </w:r>
            <w:r>
              <w:rPr>
                <w:rFonts w:hint="eastAsia" w:ascii="宋体" w:hAnsi="宋体"/>
                <w:snapToGrid w:val="0"/>
                <w:color w:val="auto"/>
                <w:kern w:val="0"/>
                <w:sz w:val="24"/>
                <w:highlight w:val="none"/>
                <w:lang w:val="en-US" w:eastAsia="zh-CN"/>
              </w:rPr>
              <w:t>4</w:t>
            </w:r>
            <w:r>
              <w:rPr>
                <w:rFonts w:ascii="宋体" w:hAnsi="宋体"/>
                <w:snapToGrid w:val="0"/>
                <w:color w:val="auto"/>
                <w:kern w:val="0"/>
                <w:sz w:val="24"/>
                <w:highlight w:val="none"/>
              </w:rPr>
              <w:t>分。</w:t>
            </w:r>
          </w:p>
        </w:tc>
      </w:tr>
      <w:tr w14:paraId="41C2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23" w:type="dxa"/>
            <w:noWrap w:val="0"/>
            <w:vAlign w:val="center"/>
          </w:tcPr>
          <w:p w14:paraId="12E59483">
            <w:pPr>
              <w:jc w:val="center"/>
              <w:rPr>
                <w:rFonts w:hint="eastAsia" w:ascii="宋体" w:hAnsi="宋体" w:cs="宋体"/>
                <w:bCs/>
                <w:color w:val="auto"/>
                <w:sz w:val="24"/>
                <w:highlight w:val="none"/>
              </w:rPr>
            </w:pPr>
            <w:r>
              <w:rPr>
                <w:rFonts w:hint="eastAsia" w:ascii="宋体" w:hAnsi="宋体" w:cs="宋体"/>
                <w:bCs/>
                <w:color w:val="auto"/>
                <w:sz w:val="24"/>
                <w:highlight w:val="none"/>
              </w:rPr>
              <w:t>2.2.4（4）</w:t>
            </w:r>
          </w:p>
        </w:tc>
        <w:tc>
          <w:tcPr>
            <w:tcW w:w="2693" w:type="dxa"/>
            <w:gridSpan w:val="2"/>
            <w:noWrap w:val="0"/>
            <w:vAlign w:val="center"/>
          </w:tcPr>
          <w:p w14:paraId="39E3D74B">
            <w:pPr>
              <w:jc w:val="center"/>
              <w:rPr>
                <w:rFonts w:hint="eastAsia" w:ascii="宋体" w:hAnsi="宋体" w:cs="宋体"/>
                <w:bCs/>
                <w:color w:val="auto"/>
                <w:sz w:val="24"/>
                <w:highlight w:val="none"/>
              </w:rPr>
            </w:pPr>
            <w:r>
              <w:rPr>
                <w:rFonts w:hint="eastAsia" w:ascii="宋体" w:hAnsi="宋体" w:cs="宋体"/>
                <w:bCs/>
                <w:color w:val="auto"/>
                <w:sz w:val="24"/>
                <w:highlight w:val="none"/>
              </w:rPr>
              <w:t>投标报价评分标准</w:t>
            </w:r>
          </w:p>
          <w:p w14:paraId="4F2E48B4">
            <w:pPr>
              <w:jc w:val="center"/>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0分）</w:t>
            </w:r>
          </w:p>
        </w:tc>
        <w:tc>
          <w:tcPr>
            <w:tcW w:w="5555" w:type="dxa"/>
            <w:gridSpan w:val="2"/>
            <w:noWrap w:val="0"/>
            <w:vAlign w:val="center"/>
          </w:tcPr>
          <w:p w14:paraId="3D3352B9">
            <w:pPr>
              <w:ind w:firstLine="367" w:firstLineChars="153"/>
              <w:jc w:val="left"/>
              <w:rPr>
                <w:rFonts w:hint="eastAsia" w:ascii="宋体" w:hAnsi="宋体" w:cs="宋体"/>
                <w:bCs/>
                <w:color w:val="auto"/>
                <w:sz w:val="24"/>
                <w:highlight w:val="none"/>
              </w:rPr>
            </w:pPr>
            <w:r>
              <w:rPr>
                <w:rFonts w:hint="eastAsia" w:ascii="宋体" w:hAnsi="宋体" w:cs="宋体"/>
                <w:bCs/>
                <w:color w:val="auto"/>
                <w:sz w:val="24"/>
                <w:highlight w:val="none"/>
              </w:rPr>
              <w:t>a.如果投标人的投标报价＞评标基准价，则评标价得分＝</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0－偏差率×100×E1；</w:t>
            </w:r>
          </w:p>
          <w:p w14:paraId="1B0B2723">
            <w:pPr>
              <w:ind w:firstLine="367" w:firstLineChars="153"/>
              <w:jc w:val="left"/>
              <w:rPr>
                <w:rFonts w:hint="eastAsia" w:ascii="宋体" w:hAnsi="宋体" w:cs="宋体"/>
                <w:bCs/>
                <w:color w:val="auto"/>
                <w:sz w:val="24"/>
                <w:highlight w:val="none"/>
              </w:rPr>
            </w:pPr>
            <w:r>
              <w:rPr>
                <w:rFonts w:hint="eastAsia" w:ascii="宋体" w:hAnsi="宋体" w:cs="宋体"/>
                <w:bCs/>
                <w:color w:val="auto"/>
                <w:sz w:val="24"/>
                <w:highlight w:val="none"/>
              </w:rPr>
              <w:t>b.如果投标人的投标报价≤评标基准价，则评标价得分＝</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0＋偏差率×100×E2；</w:t>
            </w:r>
          </w:p>
          <w:p w14:paraId="5DF75762">
            <w:pPr>
              <w:ind w:firstLine="367" w:firstLineChars="153"/>
              <w:jc w:val="left"/>
              <w:rPr>
                <w:rFonts w:hint="eastAsia" w:ascii="宋体" w:hAnsi="宋体" w:cs="宋体"/>
                <w:bCs/>
                <w:color w:val="auto"/>
                <w:sz w:val="24"/>
                <w:highlight w:val="none"/>
              </w:rPr>
            </w:pPr>
            <w:r>
              <w:rPr>
                <w:rFonts w:hint="eastAsia" w:ascii="宋体" w:hAnsi="宋体" w:cs="宋体"/>
                <w:bCs/>
                <w:color w:val="auto"/>
                <w:sz w:val="24"/>
                <w:highlight w:val="none"/>
              </w:rPr>
              <w:t>其中，E1是投标报价每高于评标基准价一个百分点的扣分值，E1＝0.</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；E2是投标报价每低于评标基准价一个百分点的扣分值，E2＝0.</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w:t>
            </w:r>
          </w:p>
        </w:tc>
      </w:tr>
    </w:tbl>
    <w:p w14:paraId="3346C7EA">
      <w:pPr>
        <w:widowControl w:val="0"/>
        <w:adjustRightInd w:val="0"/>
        <w:snapToGrid w:val="0"/>
        <w:spacing w:line="360" w:lineRule="auto"/>
        <w:jc w:val="left"/>
        <w:textAlignment w:val="baseline"/>
        <w:rPr>
          <w:rFonts w:ascii="宋体" w:hAnsi="宋体" w:eastAsia="宋体" w:cs="Courier New"/>
          <w:snapToGrid w:val="0"/>
          <w:color w:val="auto"/>
          <w:kern w:val="0"/>
          <w:sz w:val="24"/>
          <w:szCs w:val="24"/>
          <w:highlight w:val="none"/>
          <w:lang w:val="en-US" w:eastAsia="zh-CN" w:bidi="ar-SA"/>
        </w:rPr>
      </w:pPr>
    </w:p>
    <w:p w14:paraId="4D4D73D2">
      <w:pPr>
        <w:widowControl w:val="0"/>
        <w:adjustRightInd w:val="0"/>
        <w:snapToGrid w:val="0"/>
        <w:spacing w:line="360" w:lineRule="auto"/>
        <w:jc w:val="left"/>
        <w:textAlignment w:val="baseline"/>
        <w:rPr>
          <w:rFonts w:ascii="宋体" w:hAnsi="宋体" w:eastAsia="宋体" w:cs="Courier New"/>
          <w:snapToGrid w:val="0"/>
          <w:color w:val="auto"/>
          <w:kern w:val="0"/>
          <w:sz w:val="24"/>
          <w:szCs w:val="24"/>
          <w:highlight w:val="none"/>
          <w:lang w:val="en-US" w:eastAsia="zh-CN" w:bidi="ar-SA"/>
        </w:rPr>
      </w:pPr>
      <w:r>
        <w:rPr>
          <w:rFonts w:ascii="宋体" w:hAnsi="宋体" w:eastAsia="宋体" w:cs="Courier New"/>
          <w:snapToGrid w:val="0"/>
          <w:color w:val="auto"/>
          <w:kern w:val="0"/>
          <w:sz w:val="24"/>
          <w:szCs w:val="24"/>
          <w:highlight w:val="none"/>
          <w:lang w:val="en-US" w:eastAsia="zh-CN" w:bidi="ar-SA"/>
        </w:rPr>
        <w:t>注：</w:t>
      </w:r>
      <w:bookmarkStart w:id="7" w:name="_GoBack"/>
      <w:bookmarkEnd w:id="7"/>
    </w:p>
    <w:p w14:paraId="5BD7CC6E">
      <w:pPr>
        <w:widowControl w:val="0"/>
        <w:adjustRightInd w:val="0"/>
        <w:snapToGrid w:val="0"/>
        <w:spacing w:line="360" w:lineRule="auto"/>
        <w:jc w:val="left"/>
        <w:textAlignment w:val="baseline"/>
        <w:rPr>
          <w:rFonts w:ascii="宋体" w:hAnsi="宋体" w:eastAsia="宋体" w:cs="Courier New"/>
          <w:snapToGrid w:val="0"/>
          <w:color w:val="auto"/>
          <w:kern w:val="0"/>
          <w:sz w:val="24"/>
          <w:szCs w:val="24"/>
          <w:highlight w:val="none"/>
          <w:lang w:val="en-US" w:eastAsia="zh-CN" w:bidi="ar-SA"/>
        </w:rPr>
      </w:pPr>
      <w:r>
        <w:rPr>
          <w:rFonts w:hint="eastAsia" w:ascii="宋体" w:hAnsi="宋体" w:eastAsia="宋体" w:cs="Courier New"/>
          <w:snapToGrid w:val="0"/>
          <w:color w:val="auto"/>
          <w:kern w:val="0"/>
          <w:sz w:val="24"/>
          <w:szCs w:val="24"/>
          <w:highlight w:val="none"/>
          <w:lang w:val="en-US" w:eastAsia="zh-CN" w:bidi="ar-SA"/>
        </w:rPr>
        <w:t>1、评委打分保留1位小数；</w:t>
      </w:r>
    </w:p>
    <w:p w14:paraId="178B683A">
      <w:pPr>
        <w:widowControl w:val="0"/>
        <w:adjustRightInd w:val="0"/>
        <w:snapToGrid w:val="0"/>
        <w:spacing w:line="360" w:lineRule="auto"/>
        <w:jc w:val="left"/>
        <w:textAlignment w:val="baseline"/>
        <w:rPr>
          <w:rFonts w:ascii="宋体" w:hAnsi="宋体" w:eastAsia="宋体" w:cs="Courier New"/>
          <w:snapToGrid w:val="0"/>
          <w:color w:val="auto"/>
          <w:kern w:val="0"/>
          <w:sz w:val="24"/>
          <w:szCs w:val="24"/>
          <w:highlight w:val="none"/>
          <w:lang w:val="en-US" w:eastAsia="zh-CN" w:bidi="ar-SA"/>
        </w:rPr>
      </w:pPr>
      <w:r>
        <w:rPr>
          <w:rFonts w:hint="eastAsia" w:ascii="宋体" w:hAnsi="宋体" w:eastAsia="宋体" w:cs="Courier New"/>
          <w:snapToGrid w:val="0"/>
          <w:color w:val="auto"/>
          <w:kern w:val="0"/>
          <w:sz w:val="24"/>
          <w:szCs w:val="24"/>
          <w:highlight w:val="none"/>
          <w:lang w:val="en-US" w:eastAsia="zh-CN" w:bidi="ar-SA"/>
        </w:rPr>
        <w:t>2、各评分因素得分以评标委员会各成员的打分平均值确定，保留 2 位小数；</w:t>
      </w:r>
    </w:p>
    <w:p w14:paraId="7275F337">
      <w:r>
        <w:rPr>
          <w:rFonts w:ascii="宋体" w:hAnsi="宋体" w:eastAsia="宋体" w:cs="Courier New"/>
          <w:snapToGrid w:val="0"/>
          <w:color w:val="auto"/>
          <w:kern w:val="0"/>
          <w:sz w:val="24"/>
          <w:szCs w:val="24"/>
          <w:highlight w:val="none"/>
          <w:lang w:val="en-US" w:eastAsia="zh-CN" w:bidi="ar-SA"/>
        </w:rPr>
        <w:t>3</w:t>
      </w:r>
      <w:r>
        <w:rPr>
          <w:rFonts w:hint="eastAsia" w:ascii="宋体" w:hAnsi="宋体" w:eastAsia="宋体" w:cs="Courier New"/>
          <w:snapToGrid w:val="0"/>
          <w:color w:val="auto"/>
          <w:kern w:val="0"/>
          <w:sz w:val="24"/>
          <w:szCs w:val="24"/>
          <w:highlight w:val="none"/>
          <w:lang w:val="en-US" w:eastAsia="zh-CN" w:bidi="ar-SA"/>
        </w:rPr>
        <w:t>、服务方案各评分因素细分项缺项，则该项得 0 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7B55D5"/>
    <w:rsid w:val="0ECD0571"/>
    <w:rsid w:val="11396325"/>
    <w:rsid w:val="14E0681B"/>
    <w:rsid w:val="1760460B"/>
    <w:rsid w:val="1E4F62D6"/>
    <w:rsid w:val="1F40383D"/>
    <w:rsid w:val="279B48E7"/>
    <w:rsid w:val="2896660E"/>
    <w:rsid w:val="2AE8488E"/>
    <w:rsid w:val="2EDF2AFC"/>
    <w:rsid w:val="307B55D5"/>
    <w:rsid w:val="33664DBE"/>
    <w:rsid w:val="35A574B6"/>
    <w:rsid w:val="395E67BE"/>
    <w:rsid w:val="39F049E4"/>
    <w:rsid w:val="3ABF5F61"/>
    <w:rsid w:val="42286BD6"/>
    <w:rsid w:val="444E2F6B"/>
    <w:rsid w:val="483A1816"/>
    <w:rsid w:val="4A1273D5"/>
    <w:rsid w:val="4B080D08"/>
    <w:rsid w:val="4C01529A"/>
    <w:rsid w:val="4ECD1ABD"/>
    <w:rsid w:val="528205B6"/>
    <w:rsid w:val="54904D90"/>
    <w:rsid w:val="620072A5"/>
    <w:rsid w:val="62A806BA"/>
    <w:rsid w:val="643F511A"/>
    <w:rsid w:val="72663C5F"/>
    <w:rsid w:val="78FD530C"/>
    <w:rsid w:val="7B804FE0"/>
    <w:rsid w:val="7F846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0"/>
    <w:pPr>
      <w:keepNext/>
      <w:widowControl/>
      <w:spacing w:before="50" w:beforeLines="50" w:after="50" w:afterLines="50" w:line="360" w:lineRule="auto"/>
      <w:jc w:val="center"/>
      <w:outlineLvl w:val="0"/>
    </w:pPr>
    <w:rPr>
      <w:rFonts w:ascii="宋体" w:hAnsi="宋体" w:eastAsia="宋体" w:cs="宋体"/>
      <w:b/>
      <w:bCs/>
      <w:kern w:val="36"/>
      <w:sz w:val="40"/>
      <w:szCs w:val="32"/>
    </w:rPr>
  </w:style>
  <w:style w:type="paragraph" w:styleId="4">
    <w:name w:val="heading 2"/>
    <w:basedOn w:val="1"/>
    <w:next w:val="1"/>
    <w:link w:val="21"/>
    <w:semiHidden/>
    <w:unhideWhenUsed/>
    <w:qFormat/>
    <w:uiPriority w:val="0"/>
    <w:pPr>
      <w:spacing w:line="360" w:lineRule="auto"/>
      <w:ind w:left="0"/>
      <w:jc w:val="center"/>
      <w:outlineLvl w:val="1"/>
    </w:pPr>
    <w:rPr>
      <w:rFonts w:ascii="宋体" w:hAnsi="宋体" w:eastAsia="宋体" w:cs="宋体"/>
      <w:b/>
      <w:sz w:val="32"/>
      <w:szCs w:val="30"/>
      <w:lang w:eastAsia="en-US"/>
    </w:rPr>
  </w:style>
  <w:style w:type="paragraph" w:styleId="5">
    <w:name w:val="heading 3"/>
    <w:basedOn w:val="1"/>
    <w:next w:val="1"/>
    <w:link w:val="23"/>
    <w:semiHidden/>
    <w:unhideWhenUsed/>
    <w:qFormat/>
    <w:uiPriority w:val="0"/>
    <w:pPr>
      <w:keepNext/>
      <w:widowControl/>
      <w:spacing w:line="360" w:lineRule="auto"/>
      <w:ind w:left="0"/>
      <w:jc w:val="left"/>
      <w:outlineLvl w:val="2"/>
    </w:pPr>
    <w:rPr>
      <w:rFonts w:ascii="宋体" w:hAnsi="宋体" w:eastAsia="宋体" w:cs="宋体"/>
      <w:b/>
      <w:bCs/>
      <w:sz w:val="24"/>
      <w:szCs w:val="24"/>
      <w:lang w:eastAsia="en-US"/>
    </w:rPr>
  </w:style>
  <w:style w:type="paragraph" w:styleId="6">
    <w:name w:val="heading 4"/>
    <w:basedOn w:val="1"/>
    <w:next w:val="1"/>
    <w:link w:val="24"/>
    <w:semiHidden/>
    <w:unhideWhenUsed/>
    <w:qFormat/>
    <w:uiPriority w:val="0"/>
    <w:pPr>
      <w:ind w:left="237"/>
      <w:outlineLvl w:val="3"/>
    </w:pPr>
    <w:rPr>
      <w:rFonts w:ascii="宋体" w:hAnsi="宋体" w:eastAsia="宋体" w:cs="Times New Roman"/>
      <w:b/>
      <w:sz w:val="28"/>
      <w:szCs w:val="28"/>
      <w:lang w:eastAsia="en-US"/>
    </w:rPr>
  </w:style>
  <w:style w:type="paragraph" w:styleId="7">
    <w:name w:val="heading 5"/>
    <w:basedOn w:val="1"/>
    <w:next w:val="1"/>
    <w:semiHidden/>
    <w:unhideWhenUsed/>
    <w:qFormat/>
    <w:uiPriority w:val="0"/>
    <w:pPr>
      <w:keepNext/>
      <w:keepLines/>
      <w:spacing w:beforeLines="0" w:beforeAutospacing="0" w:afterLines="0" w:afterAutospacing="0" w:line="360" w:lineRule="auto"/>
      <w:outlineLvl w:val="4"/>
    </w:pPr>
    <w:rPr>
      <w:rFonts w:ascii="宋体" w:hAnsi="宋体" w:cs="宋体" w:eastAsiaTheme="minorEastAsia"/>
      <w:b/>
      <w:sz w:val="24"/>
      <w:szCs w:val="24"/>
      <w:lang w:eastAsia="en-US"/>
    </w:rPr>
  </w:style>
  <w:style w:type="character" w:default="1" w:styleId="20">
    <w:name w:val="Default Paragraph Font"/>
    <w:unhideWhenUsed/>
    <w:qFormat/>
    <w:uiPriority w:val="1"/>
  </w:style>
  <w:style w:type="table" w:default="1" w:styleId="19">
    <w:name w:val="Normal Table"/>
    <w:semiHidden/>
    <w:uiPriority w:val="0"/>
    <w:tblPr>
      <w:tblCellMar>
        <w:top w:w="0" w:type="dxa"/>
        <w:left w:w="108" w:type="dxa"/>
        <w:bottom w:w="0" w:type="dxa"/>
        <w:right w:w="108" w:type="dxa"/>
      </w:tblCellMar>
    </w:tblPr>
  </w:style>
  <w:style w:type="paragraph" w:styleId="2">
    <w:name w:val="Body Text"/>
    <w:basedOn w:val="1"/>
    <w:qFormat/>
    <w:uiPriority w:val="99"/>
    <w:rPr>
      <w:rFonts w:ascii="宋体" w:hAnsi="宋体" w:eastAsia="宋体"/>
      <w:sz w:val="24"/>
    </w:rPr>
  </w:style>
  <w:style w:type="paragraph" w:styleId="8">
    <w:name w:val="table of authorities"/>
    <w:basedOn w:val="1"/>
    <w:next w:val="1"/>
    <w:qFormat/>
    <w:uiPriority w:val="0"/>
    <w:pPr>
      <w:ind w:left="420" w:leftChars="200"/>
    </w:pPr>
  </w:style>
  <w:style w:type="paragraph" w:styleId="9">
    <w:name w:val="annotation text"/>
    <w:basedOn w:val="1"/>
    <w:next w:val="8"/>
    <w:qFormat/>
    <w:uiPriority w:val="0"/>
    <w:pPr>
      <w:jc w:val="left"/>
    </w:pPr>
  </w:style>
  <w:style w:type="paragraph" w:styleId="10">
    <w:name w:val="Body Text 3"/>
    <w:basedOn w:val="1"/>
    <w:next w:val="11"/>
    <w:qFormat/>
    <w:uiPriority w:val="0"/>
    <w:pPr>
      <w:spacing w:line="400" w:lineRule="exact"/>
    </w:pPr>
    <w:rPr>
      <w:bCs/>
      <w:sz w:val="24"/>
      <w:szCs w:val="20"/>
    </w:rPr>
  </w:style>
  <w:style w:type="paragraph" w:styleId="11">
    <w:name w:val="List 2"/>
    <w:basedOn w:val="1"/>
    <w:next w:val="12"/>
    <w:qFormat/>
    <w:uiPriority w:val="0"/>
    <w:pPr>
      <w:ind w:left="100" w:leftChars="200" w:hanging="200" w:hangingChars="200"/>
    </w:pPr>
    <w:rPr>
      <w:rFonts w:ascii="Times New Roman" w:hAnsi="Times New Roman" w:eastAsia="宋体" w:cs="Times New Roman"/>
      <w:szCs w:val="24"/>
    </w:rPr>
  </w:style>
  <w:style w:type="paragraph" w:styleId="12">
    <w:name w:val="Date"/>
    <w:basedOn w:val="1"/>
    <w:next w:val="1"/>
    <w:qFormat/>
    <w:uiPriority w:val="0"/>
    <w:pPr>
      <w:ind w:left="100" w:leftChars="2500"/>
    </w:pPr>
  </w:style>
  <w:style w:type="paragraph" w:styleId="13">
    <w:name w:val="Body Text Indent"/>
    <w:basedOn w:val="1"/>
    <w:next w:val="14"/>
    <w:qFormat/>
    <w:uiPriority w:val="0"/>
    <w:pPr>
      <w:spacing w:line="360" w:lineRule="auto"/>
      <w:ind w:firstLine="480" w:firstLineChars="200"/>
    </w:pPr>
    <w:rPr>
      <w:rFonts w:ascii="宋体" w:hAnsi="宋体"/>
      <w:sz w:val="24"/>
    </w:rPr>
  </w:style>
  <w:style w:type="paragraph" w:styleId="14">
    <w:name w:val="Body Text Indent 2"/>
    <w:basedOn w:val="1"/>
    <w:qFormat/>
    <w:uiPriority w:val="0"/>
    <w:pPr>
      <w:spacing w:line="520" w:lineRule="exact"/>
      <w:ind w:firstLine="480" w:firstLineChars="200"/>
    </w:pPr>
    <w:rPr>
      <w:rFonts w:ascii="宋体" w:hAnsi="宋体"/>
      <w:color w:val="000000"/>
      <w:sz w:val="24"/>
    </w:rPr>
  </w:style>
  <w:style w:type="paragraph" w:styleId="15">
    <w:name w:val="List Continue"/>
    <w:basedOn w:val="1"/>
    <w:next w:val="16"/>
    <w:qFormat/>
    <w:uiPriority w:val="0"/>
    <w:pPr>
      <w:spacing w:after="120"/>
      <w:ind w:left="420" w:firstLine="3584"/>
    </w:pPr>
  </w:style>
  <w:style w:type="paragraph" w:styleId="16">
    <w:name w:val="Body Text First Indent"/>
    <w:basedOn w:val="2"/>
    <w:next w:val="10"/>
    <w:qFormat/>
    <w:uiPriority w:val="0"/>
    <w:pPr>
      <w:autoSpaceDE w:val="0"/>
      <w:autoSpaceDN w:val="0"/>
      <w:adjustRightInd w:val="0"/>
      <w:spacing w:after="120" w:afterLines="0"/>
      <w:ind w:firstLine="420"/>
      <w:jc w:val="left"/>
      <w:textAlignment w:val="baseline"/>
    </w:pPr>
  </w:style>
  <w:style w:type="paragraph" w:styleId="17">
    <w:name w:val="Plain Text"/>
    <w:basedOn w:val="1"/>
    <w:next w:val="2"/>
    <w:qFormat/>
    <w:uiPriority w:val="0"/>
    <w:rPr>
      <w:rFonts w:ascii="宋体" w:hAnsi="Courier New" w:cs="Courier New"/>
      <w:szCs w:val="21"/>
    </w:rPr>
  </w:style>
  <w:style w:type="paragraph" w:styleId="18">
    <w:name w:val="Body Text First Indent 2"/>
    <w:basedOn w:val="13"/>
    <w:next w:val="15"/>
    <w:qFormat/>
    <w:uiPriority w:val="99"/>
    <w:pPr>
      <w:ind w:firstLine="420" w:firstLineChars="200"/>
    </w:pPr>
    <w:rPr>
      <w:color w:val="000000"/>
    </w:rPr>
  </w:style>
  <w:style w:type="character" w:customStyle="1" w:styleId="21">
    <w:name w:val="标题 2 Char"/>
    <w:basedOn w:val="20"/>
    <w:link w:val="4"/>
    <w:qFormat/>
    <w:uiPriority w:val="9"/>
    <w:rPr>
      <w:rFonts w:ascii="宋体" w:hAnsi="宋体" w:eastAsia="宋体" w:cs="宋体"/>
      <w:b/>
      <w:bCs/>
      <w:sz w:val="24"/>
      <w:szCs w:val="24"/>
      <w:lang w:eastAsia="en-US"/>
    </w:rPr>
  </w:style>
  <w:style w:type="character" w:customStyle="1" w:styleId="22">
    <w:name w:val="标题 1 Char"/>
    <w:basedOn w:val="20"/>
    <w:link w:val="3"/>
    <w:qFormat/>
    <w:uiPriority w:val="9"/>
    <w:rPr>
      <w:rFonts w:ascii="宋体" w:hAnsi="宋体" w:eastAsia="宋体" w:cs="宋体"/>
      <w:b/>
      <w:bCs/>
      <w:kern w:val="36"/>
      <w:sz w:val="40"/>
      <w:szCs w:val="32"/>
      <w:lang w:eastAsia="en-US"/>
    </w:rPr>
  </w:style>
  <w:style w:type="character" w:customStyle="1" w:styleId="23">
    <w:name w:val="标题 3 Char"/>
    <w:basedOn w:val="20"/>
    <w:link w:val="5"/>
    <w:qFormat/>
    <w:uiPriority w:val="9"/>
    <w:rPr>
      <w:rFonts w:ascii="宋体" w:hAnsi="宋体" w:eastAsia="宋体" w:cs="宋体"/>
      <w:b/>
      <w:bCs/>
      <w:kern w:val="0"/>
      <w:sz w:val="24"/>
      <w:szCs w:val="24"/>
      <w:lang w:eastAsia="en-US"/>
    </w:rPr>
  </w:style>
  <w:style w:type="character" w:customStyle="1" w:styleId="24">
    <w:name w:val="标题 4 字符"/>
    <w:link w:val="6"/>
    <w:qFormat/>
    <w:uiPriority w:val="0"/>
    <w:rPr>
      <w:rFonts w:ascii="宋体" w:hAnsi="宋体" w:eastAsia="宋体" w:cs="Times New Roman"/>
      <w:b/>
      <w:sz w:val="28"/>
      <w:szCs w:val="28"/>
      <w:lang w:eastAsia="en-US"/>
    </w:rPr>
  </w:style>
  <w:style w:type="character" w:customStyle="1" w:styleId="25">
    <w:name w:val="目录4 Char"/>
    <w:qFormat/>
    <w:uiPriority w:val="0"/>
    <w:rPr>
      <w:rFonts w:ascii="黑体" w:eastAsia="黑体"/>
      <w:kern w:val="2"/>
      <w:sz w:val="24"/>
      <w:szCs w:val="24"/>
      <w:lang w:val="en-US" w:eastAsia="zh-CN" w:bidi="ar-SA"/>
    </w:rPr>
  </w:style>
  <w:style w:type="character" w:customStyle="1" w:styleId="26">
    <w:name w:val="目录4 Char Char"/>
    <w:qFormat/>
    <w:uiPriority w:val="0"/>
    <w:rPr>
      <w:rFonts w:ascii="黑体" w:eastAsia="黑体"/>
      <w:kern w:val="2"/>
      <w:sz w:val="24"/>
      <w:szCs w:val="24"/>
      <w:lang w:val="en-US" w:eastAsia="zh-CN" w:bidi="ar-SA"/>
    </w:rPr>
  </w:style>
  <w:style w:type="paragraph" w:styleId="27">
    <w:name w:val="No Spacing"/>
    <w:qFormat/>
    <w:uiPriority w:val="0"/>
    <w:pPr>
      <w:widowControl w:val="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2026-02-05T07:21:00Z</dcterms:created>
  <dc:creator>张宁</dc:creator>
  <cp:lastModifiedBy>张宁</cp:lastModifiedBy>
  <dcterms:modified xsi:type="dcterms:W3CDTF">2026-02-05T07:23:40Z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C47194EE4F624006ACCBE3238693B21F_11</vt:lpwstr>
  </property>
  <property fmtid="{D5CDD505-2E9C-101B-9397-08002B2CF9AE}" pid="4" name="KSOTemplateDocerSaveRecord">
    <vt:lpwstr>eyJoZGlkIjoiNGFjNGU5MGM1NzNmMGRmMGE0N2VjNjk3NDcyNTAwODYiLCJ1c2VySWQiOiIxNjgyOTM3NTgwIn0=</vt:lpwstr>
  </property>
</Properties>
</file>