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2E438">
      <w:pPr>
        <w:jc w:val="left"/>
        <w:outlineLvl w:val="2"/>
        <w:rPr>
          <w:rFonts w:hint="eastAsia" w:ascii="宋体" w:hAnsi="宋体" w:eastAsia="宋体" w:cs="宋体"/>
          <w:b/>
          <w:color w:val="auto"/>
          <w:kern w:val="0"/>
          <w:sz w:val="24"/>
          <w:szCs w:val="24"/>
          <w:highlight w:val="none"/>
          <w:lang w:eastAsia="en-US"/>
        </w:rPr>
      </w:pPr>
      <w:r>
        <w:rPr>
          <w:rFonts w:ascii="宋体" w:hAnsi="宋体" w:eastAsia="宋体" w:cs="宋体"/>
          <w:b/>
          <w:bCs/>
          <w:color w:val="auto"/>
          <w:sz w:val="21"/>
          <w:szCs w:val="21"/>
        </w:rPr>
        <w:t>附件1：资格审查条件</w:t>
      </w:r>
    </w:p>
    <w:p w14:paraId="3CE955FF">
      <w:pPr>
        <w:jc w:val="center"/>
        <w:rPr>
          <w:rFonts w:ascii="宋体" w:hAnsi="宋体" w:eastAsia="宋体" w:cs="宋体"/>
          <w:b/>
          <w:color w:val="auto"/>
          <w:kern w:val="0"/>
          <w:sz w:val="21"/>
          <w:szCs w:val="21"/>
          <w:highlight w:val="none"/>
          <w:lang w:eastAsia="en-US"/>
        </w:rPr>
      </w:pPr>
      <w:r>
        <w:rPr>
          <w:rFonts w:hint="eastAsia" w:ascii="宋体" w:hAnsi="宋体" w:eastAsia="宋体" w:cs="宋体"/>
          <w:b/>
          <w:color w:val="auto"/>
          <w:kern w:val="0"/>
          <w:sz w:val="21"/>
          <w:szCs w:val="21"/>
          <w:highlight w:val="none"/>
          <w:lang w:eastAsia="en-US"/>
        </w:rPr>
        <w:t>附录1资格审查条件（资质最低要求）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A74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0E092EC9">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资质等级要求</w:t>
            </w:r>
          </w:p>
        </w:tc>
      </w:tr>
      <w:tr w14:paraId="5E52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42" w:type="dxa"/>
            <w:vAlign w:val="center"/>
          </w:tcPr>
          <w:p w14:paraId="1ABE3CAD">
            <w:pPr>
              <w:keepNext w:val="0"/>
              <w:keepLines w:val="0"/>
              <w:suppressLineNumbers w:val="0"/>
              <w:snapToGrid w:val="0"/>
              <w:spacing w:before="0" w:beforeAutospacing="0" w:after="0" w:afterAutospacing="0" w:line="360" w:lineRule="exact"/>
              <w:ind w:left="0" w:right="0" w:firstLine="420" w:firstLineChars="200"/>
              <w:jc w:val="left"/>
              <w:rPr>
                <w:rFonts w:hint="default" w:ascii="Calibri" w:hAnsi="Calibri" w:eastAsia="宋体" w:cs="宋体"/>
                <w:color w:val="auto"/>
                <w:kern w:val="0"/>
                <w:sz w:val="21"/>
                <w:szCs w:val="21"/>
                <w:highlight w:val="none"/>
                <w:lang w:eastAsia="en-US"/>
              </w:rPr>
            </w:pPr>
            <w:r>
              <w:rPr>
                <w:rFonts w:hint="default" w:ascii="Calibri" w:hAnsi="Calibri" w:eastAsia="宋体" w:cs="宋体"/>
                <w:color w:val="auto"/>
                <w:kern w:val="0"/>
                <w:sz w:val="21"/>
                <w:szCs w:val="21"/>
                <w:highlight w:val="none"/>
                <w:lang w:eastAsia="en-US"/>
              </w:rPr>
              <w:t>投标人应是中华人民共和国境内的法人或其他组织，持有有效的营业执照或事业单位法人证书；</w:t>
            </w:r>
          </w:p>
          <w:p w14:paraId="1AB9CBE9">
            <w:pPr>
              <w:keepNext w:val="0"/>
              <w:keepLines w:val="0"/>
              <w:suppressLineNumbers w:val="0"/>
              <w:snapToGrid w:val="0"/>
              <w:spacing w:before="0" w:beforeAutospacing="0" w:after="0" w:afterAutospacing="0" w:line="360" w:lineRule="exact"/>
              <w:ind w:left="0" w:right="0" w:firstLine="420" w:firstLineChars="200"/>
              <w:jc w:val="left"/>
              <w:rPr>
                <w:rFonts w:hint="eastAsia" w:ascii="Calibri" w:hAnsi="Calibri" w:eastAsia="宋体" w:cs="宋体"/>
                <w:color w:val="auto"/>
                <w:kern w:val="0"/>
                <w:sz w:val="21"/>
                <w:szCs w:val="21"/>
                <w:highlight w:val="none"/>
                <w:lang w:eastAsia="zh-CN"/>
              </w:rPr>
            </w:pPr>
            <w:r>
              <w:rPr>
                <w:rFonts w:hint="default" w:ascii="Calibri" w:hAnsi="Calibri" w:eastAsia="宋体" w:cs="宋体"/>
                <w:color w:val="auto"/>
                <w:kern w:val="0"/>
                <w:sz w:val="21"/>
                <w:szCs w:val="21"/>
                <w:highlight w:val="none"/>
                <w:lang w:eastAsia="en-US"/>
              </w:rPr>
              <w:t>具备有效的医疗机构执业许可证</w:t>
            </w:r>
            <w:r>
              <w:rPr>
                <w:rFonts w:hint="eastAsia" w:ascii="Calibri" w:hAnsi="Calibri" w:eastAsia="宋体" w:cs="宋体"/>
                <w:color w:val="auto"/>
                <w:kern w:val="0"/>
                <w:sz w:val="21"/>
                <w:szCs w:val="21"/>
                <w:highlight w:val="none"/>
                <w:lang w:eastAsia="zh-CN"/>
              </w:rPr>
              <w:t>；</w:t>
            </w:r>
          </w:p>
          <w:p w14:paraId="586855D0">
            <w:pPr>
              <w:keepNext w:val="0"/>
              <w:keepLines w:val="0"/>
              <w:suppressLineNumbers w:val="0"/>
              <w:snapToGrid w:val="0"/>
              <w:spacing w:before="0" w:beforeAutospacing="0" w:after="0" w:afterAutospacing="0" w:line="360" w:lineRule="exact"/>
              <w:ind w:left="0" w:right="0" w:firstLine="420" w:firstLineChars="200"/>
              <w:jc w:val="left"/>
              <w:rPr>
                <w:rFonts w:hint="default" w:ascii="Calibri" w:hAnsi="Calibri" w:eastAsia="宋体" w:cs="宋体"/>
                <w:color w:val="auto"/>
                <w:kern w:val="0"/>
                <w:sz w:val="21"/>
                <w:szCs w:val="21"/>
                <w:highlight w:val="none"/>
                <w:lang w:val="en-US" w:eastAsia="zh-CN"/>
              </w:rPr>
            </w:pPr>
            <w:r>
              <w:rPr>
                <w:rFonts w:hint="eastAsia" w:ascii="Calibri" w:hAnsi="Calibri" w:eastAsia="宋体" w:cs="宋体"/>
                <w:color w:val="auto"/>
                <w:kern w:val="0"/>
                <w:sz w:val="21"/>
                <w:szCs w:val="21"/>
                <w:highlight w:val="none"/>
                <w:lang w:val="en-US" w:eastAsia="zh-CN"/>
              </w:rPr>
              <w:t>公立三级甲等综合医院。</w:t>
            </w:r>
          </w:p>
        </w:tc>
      </w:tr>
    </w:tbl>
    <w:p w14:paraId="71A86323">
      <w:pPr>
        <w:jc w:val="left"/>
        <w:rPr>
          <w:rFonts w:ascii="宋体" w:hAnsi="宋体" w:eastAsia="宋体" w:cs="宋体"/>
          <w:color w:val="auto"/>
          <w:kern w:val="0"/>
          <w:sz w:val="21"/>
          <w:szCs w:val="21"/>
          <w:highlight w:val="none"/>
          <w:lang w:eastAsia="en-US"/>
        </w:rPr>
      </w:pPr>
    </w:p>
    <w:p w14:paraId="68DF5E89">
      <w:pPr>
        <w:jc w:val="center"/>
        <w:rPr>
          <w:rFonts w:ascii="宋体" w:hAnsi="宋体" w:eastAsia="宋体" w:cs="宋体"/>
          <w:b/>
          <w:color w:val="auto"/>
          <w:kern w:val="0"/>
          <w:sz w:val="21"/>
          <w:szCs w:val="21"/>
          <w:highlight w:val="none"/>
          <w:lang w:eastAsia="en-US"/>
        </w:rPr>
      </w:pPr>
      <w:r>
        <w:rPr>
          <w:rFonts w:hint="eastAsia" w:ascii="宋体" w:hAnsi="宋体" w:eastAsia="宋体" w:cs="宋体"/>
          <w:b/>
          <w:color w:val="auto"/>
          <w:kern w:val="0"/>
          <w:sz w:val="21"/>
          <w:szCs w:val="21"/>
          <w:highlight w:val="none"/>
          <w:lang w:eastAsia="en-US"/>
        </w:rPr>
        <w:t>附录2资格审查条件（业绩最低要求）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4D09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C93DF85">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业绩要求</w:t>
            </w:r>
          </w:p>
        </w:tc>
      </w:tr>
      <w:tr w14:paraId="2CEF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659AAE55">
            <w:pPr>
              <w:keepNext w:val="0"/>
              <w:keepLines w:val="0"/>
              <w:suppressLineNumbers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en-US"/>
              </w:rPr>
              <w:t>近</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en-US"/>
              </w:rPr>
              <w:t>年（20</w:t>
            </w:r>
            <w:r>
              <w:rPr>
                <w:rFonts w:hint="eastAsia" w:ascii="宋体" w:hAnsi="宋体" w:eastAsia="宋体" w:cs="宋体"/>
                <w:color w:val="auto"/>
                <w:kern w:val="0"/>
                <w:sz w:val="21"/>
                <w:szCs w:val="21"/>
                <w:highlight w:val="none"/>
                <w:lang w:val="en-US" w:eastAsia="zh-CN"/>
              </w:rPr>
              <w:t>23</w:t>
            </w:r>
            <w:r>
              <w:rPr>
                <w:rFonts w:hint="eastAsia" w:ascii="宋体" w:hAnsi="宋体" w:eastAsia="宋体" w:cs="宋体"/>
                <w:color w:val="auto"/>
                <w:kern w:val="0"/>
                <w:sz w:val="21"/>
                <w:szCs w:val="21"/>
                <w:highlight w:val="none"/>
                <w:lang w:eastAsia="en-US"/>
              </w:rPr>
              <w:t>年</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eastAsia="en-US"/>
              </w:rPr>
              <w:t>月1日至投标截止时间，以合同签订时间为准），至少承</w:t>
            </w:r>
            <w:r>
              <w:rPr>
                <w:rFonts w:hint="eastAsia" w:ascii="宋体" w:hAnsi="宋体" w:eastAsia="宋体" w:cs="宋体"/>
                <w:color w:val="auto"/>
                <w:kern w:val="0"/>
                <w:sz w:val="21"/>
                <w:szCs w:val="21"/>
                <w:highlight w:val="none"/>
                <w:lang w:val="en-US" w:eastAsia="zh-CN"/>
              </w:rPr>
              <w:t>揽</w:t>
            </w:r>
            <w:r>
              <w:rPr>
                <w:rFonts w:hint="eastAsia" w:ascii="宋体" w:hAnsi="宋体" w:eastAsia="宋体" w:cs="宋体"/>
                <w:color w:val="auto"/>
                <w:kern w:val="0"/>
                <w:sz w:val="21"/>
                <w:szCs w:val="21"/>
                <w:highlight w:val="none"/>
                <w:lang w:eastAsia="en-US"/>
              </w:rPr>
              <w:t>过1项</w:t>
            </w:r>
            <w:r>
              <w:rPr>
                <w:rFonts w:hint="eastAsia" w:ascii="宋体" w:hAnsi="宋体" w:eastAsia="宋体" w:cs="宋体"/>
                <w:color w:val="auto"/>
                <w:kern w:val="0"/>
                <w:sz w:val="21"/>
                <w:szCs w:val="21"/>
                <w:highlight w:val="none"/>
                <w:lang w:val="en-US" w:eastAsia="zh-CN"/>
              </w:rPr>
              <w:t>企事业单位体检项目（体检人数不少于300人）</w:t>
            </w:r>
            <w:r>
              <w:rPr>
                <w:rFonts w:hint="eastAsia" w:ascii="宋体" w:hAnsi="宋体" w:eastAsia="宋体" w:cs="宋体"/>
                <w:color w:val="auto"/>
                <w:kern w:val="0"/>
                <w:sz w:val="21"/>
                <w:szCs w:val="21"/>
                <w:highlight w:val="none"/>
                <w:lang w:eastAsia="zh-CN"/>
              </w:rPr>
              <w:t>。</w:t>
            </w:r>
          </w:p>
        </w:tc>
      </w:tr>
    </w:tbl>
    <w:p w14:paraId="5416A2BA">
      <w:pPr>
        <w:jc w:val="left"/>
        <w:rPr>
          <w:rFonts w:ascii="宋体" w:hAnsi="宋体" w:eastAsia="宋体" w:cs="宋体"/>
          <w:color w:val="auto"/>
          <w:kern w:val="0"/>
          <w:sz w:val="21"/>
          <w:szCs w:val="21"/>
          <w:highlight w:val="none"/>
          <w:lang w:eastAsia="en-US"/>
        </w:rPr>
      </w:pPr>
    </w:p>
    <w:p w14:paraId="041C6740">
      <w:pPr>
        <w:jc w:val="center"/>
        <w:rPr>
          <w:rFonts w:ascii="宋体" w:hAnsi="宋体" w:eastAsia="宋体" w:cs="宋体"/>
          <w:b/>
          <w:color w:val="auto"/>
          <w:kern w:val="0"/>
          <w:sz w:val="21"/>
          <w:szCs w:val="21"/>
          <w:highlight w:val="none"/>
          <w:lang w:eastAsia="en-US"/>
        </w:rPr>
      </w:pPr>
      <w:r>
        <w:rPr>
          <w:rFonts w:hint="eastAsia" w:ascii="宋体" w:hAnsi="宋体" w:eastAsia="宋体" w:cs="宋体"/>
          <w:b/>
          <w:color w:val="auto"/>
          <w:kern w:val="0"/>
          <w:sz w:val="21"/>
          <w:szCs w:val="21"/>
          <w:highlight w:val="none"/>
          <w:lang w:eastAsia="en-US"/>
        </w:rPr>
        <w:t>附录3资格审查条件（信誉最低要求）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976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129F2197">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eastAsia="en-US"/>
              </w:rPr>
              <w:t>信誉要求</w:t>
            </w:r>
          </w:p>
        </w:tc>
      </w:tr>
      <w:tr w14:paraId="1A01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11121F66">
            <w:pPr>
              <w:keepNext w:val="0"/>
              <w:keepLines w:val="0"/>
              <w:suppressLineNumbers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en-US"/>
              </w:rPr>
              <w:t>投标人在过去1年中（202</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en-US"/>
              </w:rPr>
              <w:t>年</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eastAsia="en-US"/>
              </w:rPr>
              <w:t>月1日至投标截止时间）不曾在</w:t>
            </w:r>
            <w:r>
              <w:rPr>
                <w:rFonts w:hint="eastAsia" w:ascii="宋体" w:hAnsi="宋体" w:cs="宋体"/>
                <w:color w:val="auto"/>
                <w:kern w:val="0"/>
                <w:sz w:val="21"/>
                <w:szCs w:val="21"/>
                <w:highlight w:val="none"/>
                <w:lang w:val="en-US" w:eastAsia="zh-CN"/>
              </w:rPr>
              <w:t>体检</w:t>
            </w:r>
            <w:r>
              <w:rPr>
                <w:rFonts w:hint="eastAsia" w:ascii="宋体" w:hAnsi="宋体" w:eastAsia="宋体" w:cs="宋体"/>
                <w:color w:val="auto"/>
                <w:kern w:val="0"/>
                <w:sz w:val="21"/>
                <w:szCs w:val="21"/>
                <w:highlight w:val="none"/>
                <w:lang w:val="en-US" w:eastAsia="zh-CN"/>
              </w:rPr>
              <w:t>服务</w:t>
            </w:r>
            <w:r>
              <w:rPr>
                <w:rFonts w:hint="eastAsia" w:ascii="宋体" w:hAnsi="宋体" w:eastAsia="宋体" w:cs="宋体"/>
                <w:color w:val="auto"/>
                <w:kern w:val="0"/>
                <w:sz w:val="21"/>
                <w:szCs w:val="21"/>
                <w:highlight w:val="none"/>
                <w:lang w:eastAsia="en-US"/>
              </w:rPr>
              <w:t>合同中违约而被逐或因投标人自身的原因而使合同被解除。</w:t>
            </w:r>
          </w:p>
        </w:tc>
      </w:tr>
    </w:tbl>
    <w:p w14:paraId="64F44F96">
      <w:pPr>
        <w:jc w:val="left"/>
        <w:rPr>
          <w:rFonts w:ascii="宋体" w:hAnsi="宋体" w:eastAsia="宋体" w:cs="宋体"/>
          <w:color w:val="auto"/>
          <w:kern w:val="0"/>
          <w:sz w:val="21"/>
          <w:szCs w:val="21"/>
          <w:highlight w:val="none"/>
          <w:lang w:eastAsia="en-US"/>
        </w:rPr>
      </w:pPr>
    </w:p>
    <w:p w14:paraId="5B43FF4C">
      <w:pPr>
        <w:jc w:val="center"/>
        <w:rPr>
          <w:rFonts w:ascii="宋体" w:hAnsi="宋体" w:eastAsia="宋体" w:cs="宋体"/>
          <w:b/>
          <w:color w:val="auto"/>
          <w:kern w:val="0"/>
          <w:sz w:val="21"/>
          <w:szCs w:val="21"/>
          <w:highlight w:val="none"/>
          <w:lang w:eastAsia="en-US"/>
        </w:rPr>
      </w:pPr>
      <w:r>
        <w:rPr>
          <w:rFonts w:hint="eastAsia" w:ascii="宋体" w:hAnsi="宋体" w:eastAsia="宋体" w:cs="宋体"/>
          <w:b/>
          <w:color w:val="auto"/>
          <w:kern w:val="0"/>
          <w:sz w:val="21"/>
          <w:szCs w:val="21"/>
          <w:highlight w:val="none"/>
          <w:lang w:eastAsia="en-US"/>
        </w:rPr>
        <w:t>附录4资格审查条件（</w:t>
      </w:r>
      <w:r>
        <w:rPr>
          <w:rFonts w:hint="eastAsia" w:ascii="宋体" w:hAnsi="宋体" w:eastAsia="宋体" w:cs="Arial"/>
          <w:b/>
          <w:bCs/>
          <w:color w:val="auto"/>
          <w:spacing w:val="15"/>
          <w:kern w:val="0"/>
          <w:sz w:val="21"/>
          <w:szCs w:val="21"/>
          <w:highlight w:val="none"/>
          <w:lang w:val="en-US" w:eastAsia="zh-CN"/>
        </w:rPr>
        <w:t>其他</w:t>
      </w:r>
      <w:r>
        <w:rPr>
          <w:rFonts w:hint="eastAsia" w:ascii="宋体" w:hAnsi="宋体" w:eastAsia="宋体" w:cs="宋体"/>
          <w:b/>
          <w:color w:val="auto"/>
          <w:kern w:val="0"/>
          <w:sz w:val="21"/>
          <w:szCs w:val="21"/>
          <w:highlight w:val="none"/>
          <w:lang w:eastAsia="en-US"/>
        </w:rPr>
        <w:t>要求）</w:t>
      </w:r>
    </w:p>
    <w:tbl>
      <w:tblPr>
        <w:tblStyle w:val="9"/>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1"/>
      </w:tblGrid>
      <w:tr w14:paraId="12CE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671" w:type="dxa"/>
            <w:vAlign w:val="center"/>
          </w:tcPr>
          <w:p w14:paraId="57AA34D3">
            <w:pPr>
              <w:keepNext w:val="0"/>
              <w:keepLines w:val="0"/>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eastAsia="en-US"/>
              </w:rPr>
            </w:pPr>
            <w:r>
              <w:rPr>
                <w:rFonts w:hint="eastAsia" w:ascii="宋体" w:hAnsi="宋体" w:eastAsia="宋体" w:cs="宋体"/>
                <w:color w:val="auto"/>
                <w:kern w:val="0"/>
                <w:sz w:val="21"/>
                <w:szCs w:val="21"/>
                <w:highlight w:val="none"/>
                <w:lang w:val="en-US" w:eastAsia="zh-CN"/>
              </w:rPr>
              <w:t>其他</w:t>
            </w:r>
            <w:r>
              <w:rPr>
                <w:rFonts w:hint="eastAsia" w:ascii="宋体" w:hAnsi="宋体" w:eastAsia="宋体" w:cs="宋体"/>
                <w:color w:val="auto"/>
                <w:kern w:val="0"/>
                <w:sz w:val="21"/>
                <w:szCs w:val="21"/>
                <w:highlight w:val="none"/>
                <w:lang w:eastAsia="en-US"/>
              </w:rPr>
              <w:t>要求</w:t>
            </w:r>
          </w:p>
        </w:tc>
      </w:tr>
      <w:tr w14:paraId="2636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671" w:type="dxa"/>
            <w:vAlign w:val="center"/>
          </w:tcPr>
          <w:p w14:paraId="71EAAB3D">
            <w:pPr>
              <w:keepNext w:val="0"/>
              <w:keepLines w:val="0"/>
              <w:suppressLineNumbers w:val="0"/>
              <w:spacing w:before="0" w:beforeAutospacing="0" w:after="0" w:afterAutospacing="0"/>
              <w:ind w:left="0" w:right="0" w:firstLine="420" w:firstLineChars="200"/>
              <w:jc w:val="left"/>
              <w:rPr>
                <w:rFonts w:hint="eastAsia" w:ascii="Calibri" w:hAnsi="Calibri" w:eastAsia="宋体" w:cs="宋体"/>
                <w:color w:val="auto"/>
                <w:kern w:val="0"/>
                <w:sz w:val="21"/>
                <w:szCs w:val="21"/>
                <w:highlight w:val="none"/>
                <w:lang w:eastAsia="zh-CN"/>
              </w:rPr>
            </w:pPr>
            <w:r>
              <w:rPr>
                <w:rFonts w:hint="eastAsia" w:ascii="Calibri" w:hAnsi="Calibri" w:eastAsia="宋体" w:cs="宋体"/>
                <w:color w:val="auto"/>
                <w:kern w:val="0"/>
                <w:sz w:val="21"/>
                <w:szCs w:val="21"/>
                <w:highlight w:val="none"/>
                <w:lang w:eastAsia="zh-CN"/>
              </w:rPr>
              <w:t>投标人须具有较丰富的独立外出体检经验，具备体检车，</w:t>
            </w:r>
            <w:r>
              <w:rPr>
                <w:rFonts w:hint="eastAsia" w:ascii="Calibri" w:hAnsi="Calibri" w:eastAsia="宋体" w:cs="宋体"/>
                <w:color w:val="auto"/>
                <w:kern w:val="0"/>
                <w:sz w:val="21"/>
                <w:szCs w:val="21"/>
                <w:highlight w:val="none"/>
                <w:lang w:val="en-US" w:eastAsia="zh-CN"/>
              </w:rPr>
              <w:t>能使用体检车提供体检服务</w:t>
            </w:r>
            <w:r>
              <w:rPr>
                <w:rFonts w:hint="eastAsia" w:ascii="Calibri" w:hAnsi="Calibri" w:eastAsia="宋体" w:cs="宋体"/>
                <w:color w:val="auto"/>
                <w:kern w:val="0"/>
                <w:sz w:val="21"/>
                <w:szCs w:val="21"/>
                <w:highlight w:val="none"/>
                <w:lang w:eastAsia="zh-CN"/>
              </w:rPr>
              <w:t>。</w:t>
            </w:r>
          </w:p>
        </w:tc>
      </w:tr>
    </w:tbl>
    <w:p w14:paraId="4C4792C8">
      <w:pPr>
        <w:rPr>
          <w:rFonts w:ascii="宋体" w:eastAsia="宋体"/>
          <w:b/>
          <w:color w:val="auto"/>
          <w:highlight w:val="none"/>
        </w:rPr>
      </w:pPr>
      <w:r>
        <w:rPr>
          <w:rFonts w:ascii="宋体" w:eastAsia="宋体"/>
          <w:b/>
          <w:color w:val="auto"/>
          <w:highlight w:val="none"/>
        </w:rPr>
        <w:br w:type="page"/>
      </w:r>
    </w:p>
    <w:p w14:paraId="0CAE2AD5">
      <w:pPr>
        <w:pStyle w:val="15"/>
        <w:jc w:val="left"/>
        <w:outlineLvl w:val="2"/>
        <w:rPr>
          <w:rFonts w:ascii="宋体" w:eastAsia="宋体"/>
          <w:b/>
          <w:color w:val="auto"/>
          <w:highlight w:val="none"/>
        </w:rPr>
      </w:pPr>
      <w:r>
        <w:rPr>
          <w:rFonts w:ascii="宋体" w:hAnsi="宋体" w:eastAsia="宋体" w:cs="宋体"/>
          <w:b/>
          <w:bCs/>
          <w:color w:val="auto"/>
          <w:sz w:val="21"/>
          <w:szCs w:val="21"/>
        </w:rPr>
        <w:t>附件2：评标办法</w:t>
      </w:r>
    </w:p>
    <w:p w14:paraId="6B65E59E">
      <w:pPr>
        <w:autoSpaceDE w:val="0"/>
        <w:autoSpaceDN w:val="0"/>
        <w:adjustRightInd w:val="0"/>
        <w:snapToGrid w:val="0"/>
        <w:spacing w:line="360" w:lineRule="auto"/>
        <w:ind w:left="119" w:right="113"/>
        <w:jc w:val="left"/>
        <w:outlineLvl w:val="3"/>
        <w:rPr>
          <w:color w:val="auto"/>
          <w:highlight w:val="none"/>
        </w:rPr>
      </w:pPr>
      <w:r>
        <w:rPr>
          <w:rFonts w:hint="eastAsia"/>
          <w:color w:val="auto"/>
          <w:highlight w:val="none"/>
        </w:rPr>
        <w:t>评标办法前附表</w:t>
      </w:r>
    </w:p>
    <w:tbl>
      <w:tblPr>
        <w:tblStyle w:val="9"/>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452"/>
      </w:tblGrid>
      <w:tr w14:paraId="79B5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4D71E25E">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条款号</w:t>
            </w:r>
          </w:p>
        </w:tc>
        <w:tc>
          <w:tcPr>
            <w:tcW w:w="1231" w:type="dxa"/>
            <w:tcBorders>
              <w:top w:val="single" w:color="auto" w:sz="4" w:space="0"/>
              <w:left w:val="single" w:color="auto" w:sz="4" w:space="0"/>
              <w:bottom w:val="single" w:color="auto" w:sz="4" w:space="0"/>
              <w:right w:val="single" w:color="auto" w:sz="4" w:space="0"/>
            </w:tcBorders>
            <w:vAlign w:val="center"/>
          </w:tcPr>
          <w:p w14:paraId="0BB61D18">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条款名称</w:t>
            </w:r>
          </w:p>
        </w:tc>
        <w:tc>
          <w:tcPr>
            <w:tcW w:w="7452" w:type="dxa"/>
            <w:tcBorders>
              <w:top w:val="single" w:color="auto" w:sz="4" w:space="0"/>
              <w:left w:val="single" w:color="auto" w:sz="4" w:space="0"/>
              <w:bottom w:val="single" w:color="auto" w:sz="4" w:space="0"/>
              <w:right w:val="single" w:color="auto" w:sz="4" w:space="0"/>
            </w:tcBorders>
            <w:vAlign w:val="center"/>
          </w:tcPr>
          <w:p w14:paraId="3491F39E">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评审因素与评审标准</w:t>
            </w:r>
          </w:p>
        </w:tc>
      </w:tr>
      <w:tr w14:paraId="382E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0B21816D">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1</w:t>
            </w:r>
          </w:p>
        </w:tc>
        <w:tc>
          <w:tcPr>
            <w:tcW w:w="1231" w:type="dxa"/>
            <w:tcBorders>
              <w:top w:val="single" w:color="auto" w:sz="4" w:space="0"/>
              <w:left w:val="single" w:color="auto" w:sz="4" w:space="0"/>
              <w:bottom w:val="single" w:color="auto" w:sz="4" w:space="0"/>
              <w:right w:val="single" w:color="auto" w:sz="4" w:space="0"/>
            </w:tcBorders>
            <w:vAlign w:val="center"/>
          </w:tcPr>
          <w:p w14:paraId="12930646">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评标办法</w:t>
            </w:r>
          </w:p>
        </w:tc>
        <w:tc>
          <w:tcPr>
            <w:tcW w:w="7452" w:type="dxa"/>
            <w:tcBorders>
              <w:top w:val="single" w:color="auto" w:sz="4" w:space="0"/>
              <w:left w:val="single" w:color="auto" w:sz="4" w:space="0"/>
              <w:bottom w:val="single" w:color="auto" w:sz="4" w:space="0"/>
              <w:right w:val="single" w:color="auto" w:sz="4" w:space="0"/>
            </w:tcBorders>
            <w:vAlign w:val="center"/>
          </w:tcPr>
          <w:p w14:paraId="1C15D859">
            <w:pPr>
              <w:snapToGrid w:val="0"/>
              <w:spacing w:line="340" w:lineRule="exact"/>
              <w:rPr>
                <w:rFonts w:ascii="宋体" w:hAnsi="宋体" w:cs="宋体"/>
                <w:color w:val="auto"/>
                <w:spacing w:val="-4"/>
                <w:kern w:val="28"/>
                <w:highlight w:val="none"/>
              </w:rPr>
            </w:pPr>
            <w:r>
              <w:rPr>
                <w:rFonts w:hint="eastAsia" w:ascii="宋体" w:hAnsi="宋体"/>
                <w:color w:val="auto"/>
                <w:spacing w:val="-4"/>
                <w:kern w:val="28"/>
                <w:highlight w:val="none"/>
              </w:rPr>
              <w:t>本条修改为：</w:t>
            </w:r>
          </w:p>
          <w:p w14:paraId="72C49C53">
            <w:pPr>
              <w:snapToGrid w:val="0"/>
              <w:spacing w:line="340" w:lineRule="exact"/>
              <w:ind w:firstLine="420" w:firstLineChars="200"/>
              <w:rPr>
                <w:rFonts w:ascii="宋体" w:hAnsi="宋体"/>
                <w:color w:val="auto"/>
                <w:spacing w:val="-4"/>
                <w:kern w:val="28"/>
                <w:highlight w:val="none"/>
              </w:rPr>
            </w:pPr>
            <w:r>
              <w:rPr>
                <w:rFonts w:hint="eastAsia" w:ascii="宋体" w:hAnsi="宋体"/>
                <w:color w:val="auto"/>
                <w:kern w:val="28"/>
                <w:highlight w:val="none"/>
              </w:rPr>
              <w:t>本次评标采用综合评估法。评标委员会对满足招标文件实质性要求的投标文件，按照第三章第2.2款规定的评分标准进行打分，并按得分由高到低顺序推荐1-3名中标候选人。</w:t>
            </w:r>
            <w:r>
              <w:rPr>
                <w:rFonts w:hint="eastAsia" w:ascii="宋体" w:hAnsi="宋体"/>
                <w:color w:val="auto"/>
                <w:spacing w:val="-4"/>
                <w:kern w:val="28"/>
                <w:highlight w:val="none"/>
              </w:rPr>
              <w:t>综合评分相等时，评标委员会依次按照以下优先顺序推荐中标候选人：</w:t>
            </w:r>
          </w:p>
          <w:p w14:paraId="6D1A843A">
            <w:pPr>
              <w:snapToGrid w:val="0"/>
              <w:spacing w:line="340" w:lineRule="exact"/>
              <w:ind w:firstLine="420" w:firstLineChars="200"/>
              <w:rPr>
                <w:rFonts w:ascii="宋体" w:hAnsi="宋体"/>
                <w:color w:val="auto"/>
                <w:kern w:val="28"/>
                <w:highlight w:val="none"/>
              </w:rPr>
            </w:pPr>
            <w:r>
              <w:rPr>
                <w:rFonts w:hint="eastAsia" w:ascii="宋体" w:hAnsi="宋体"/>
                <w:color w:val="auto"/>
                <w:kern w:val="28"/>
                <w:highlight w:val="none"/>
              </w:rPr>
              <w:t>（1）服务方案得分较高的投标人优先；</w:t>
            </w:r>
          </w:p>
          <w:p w14:paraId="37B427A1">
            <w:pPr>
              <w:snapToGrid w:val="0"/>
              <w:spacing w:line="340" w:lineRule="exact"/>
              <w:ind w:firstLine="420" w:firstLineChars="200"/>
              <w:rPr>
                <w:rFonts w:ascii="宋体" w:hAnsi="宋体"/>
                <w:color w:val="auto"/>
                <w:kern w:val="28"/>
                <w:highlight w:val="none"/>
              </w:rPr>
            </w:pPr>
            <w:r>
              <w:rPr>
                <w:rFonts w:hint="eastAsia" w:ascii="宋体" w:hAnsi="宋体"/>
                <w:color w:val="auto"/>
                <w:kern w:val="28"/>
                <w:highlight w:val="none"/>
              </w:rPr>
              <w:t>（2）投标人提供的业绩累计金额高的优先。</w:t>
            </w:r>
          </w:p>
        </w:tc>
      </w:tr>
      <w:tr w14:paraId="23DC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12884407">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2.1.1</w:t>
            </w:r>
          </w:p>
          <w:p w14:paraId="3517C320">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2.1.3</w:t>
            </w:r>
          </w:p>
        </w:tc>
        <w:tc>
          <w:tcPr>
            <w:tcW w:w="1231" w:type="dxa"/>
            <w:tcBorders>
              <w:top w:val="single" w:color="auto" w:sz="4" w:space="0"/>
              <w:left w:val="single" w:color="auto" w:sz="4" w:space="0"/>
              <w:bottom w:val="single" w:color="auto" w:sz="4" w:space="0"/>
              <w:right w:val="single" w:color="auto" w:sz="4" w:space="0"/>
            </w:tcBorders>
            <w:vAlign w:val="center"/>
          </w:tcPr>
          <w:p w14:paraId="02348C88">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形式评审与响应性评审标准</w:t>
            </w:r>
          </w:p>
        </w:tc>
        <w:tc>
          <w:tcPr>
            <w:tcW w:w="7452" w:type="dxa"/>
            <w:tcBorders>
              <w:top w:val="single" w:color="auto" w:sz="4" w:space="0"/>
              <w:left w:val="single" w:color="auto" w:sz="4" w:space="0"/>
              <w:bottom w:val="single" w:color="auto" w:sz="4" w:space="0"/>
              <w:right w:val="single" w:color="auto" w:sz="4" w:space="0"/>
            </w:tcBorders>
          </w:tcPr>
          <w:p w14:paraId="7C05441E">
            <w:pPr>
              <w:adjustRightInd w:val="0"/>
              <w:snapToGrid w:val="0"/>
              <w:spacing w:line="340" w:lineRule="exact"/>
              <w:jc w:val="left"/>
              <w:rPr>
                <w:rFonts w:ascii="宋体" w:hAnsi="宋体"/>
                <w:bCs/>
                <w:color w:val="auto"/>
                <w:highlight w:val="none"/>
              </w:rPr>
            </w:pPr>
            <w:r>
              <w:rPr>
                <w:rFonts w:hint="eastAsia" w:ascii="宋体" w:hAnsi="宋体"/>
                <w:color w:val="auto"/>
                <w:highlight w:val="none"/>
              </w:rPr>
              <w:t>（1）</w:t>
            </w:r>
            <w:r>
              <w:rPr>
                <w:rFonts w:hint="eastAsia" w:ascii="宋体" w:hAnsi="宋体"/>
                <w:bCs/>
                <w:color w:val="auto"/>
                <w:highlight w:val="none"/>
              </w:rPr>
              <w:t xml:space="preserve">投标文件按照招标文件规定的格式、内容填写，字迹清晰可辨： </w:t>
            </w:r>
          </w:p>
          <w:p w14:paraId="4CFD1448">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a.投标函按招标文件规定填报了项目名称、补遗书编号（如有）</w:t>
            </w:r>
            <w:r>
              <w:rPr>
                <w:rFonts w:hint="eastAsia" w:ascii="宋体" w:hAnsi="宋体" w:cs="宋体"/>
                <w:color w:val="auto"/>
                <w:highlight w:val="none"/>
              </w:rPr>
              <w:t>、</w:t>
            </w:r>
            <w:r>
              <w:rPr>
                <w:rFonts w:hint="eastAsia" w:ascii="宋体" w:hAnsi="宋体"/>
                <w:color w:val="auto"/>
                <w:highlight w:val="none"/>
              </w:rPr>
              <w:t>投标报价、</w:t>
            </w:r>
            <w:r>
              <w:rPr>
                <w:rFonts w:hint="eastAsia" w:ascii="宋体" w:hAnsi="宋体"/>
                <w:color w:val="auto"/>
                <w:highlight w:val="none"/>
                <w:lang w:val="en-US" w:eastAsia="zh-CN"/>
              </w:rPr>
              <w:t>服务地点、</w:t>
            </w:r>
            <w:r>
              <w:rPr>
                <w:rFonts w:hint="eastAsia" w:ascii="宋体" w:hAnsi="宋体" w:cs="宋体"/>
                <w:color w:val="auto"/>
                <w:highlight w:val="none"/>
              </w:rPr>
              <w:t>服务期限、质量要求等；</w:t>
            </w:r>
          </w:p>
          <w:p w14:paraId="71FB1CE8">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b.投标文件组成齐全完整，内容均按规定填写。</w:t>
            </w:r>
          </w:p>
          <w:p w14:paraId="6EE05F4E">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（2）投标文件上法定代表人或其委托代理人的签字、投标人的单位章盖章齐全，符合招标文件规定。</w:t>
            </w:r>
          </w:p>
          <w:p w14:paraId="2C7081D2">
            <w:pPr>
              <w:adjustRightInd w:val="0"/>
              <w:snapToGrid w:val="0"/>
              <w:spacing w:line="340" w:lineRule="exact"/>
              <w:jc w:val="left"/>
              <w:rPr>
                <w:rFonts w:hint="eastAsia" w:ascii="宋体" w:hAnsi="宋体"/>
                <w:bCs/>
                <w:color w:val="auto"/>
                <w:highlight w:val="none"/>
              </w:rPr>
            </w:pPr>
            <w:r>
              <w:rPr>
                <w:rFonts w:hint="eastAsia" w:ascii="宋体" w:hAnsi="宋体"/>
                <w:bCs/>
                <w:color w:val="auto"/>
                <w:highlight w:val="none"/>
              </w:rPr>
              <w:t>（3）投标人法定代表人授权委托代理人签署投标文件的，须提交授权委托书，授权委托书符合招标文件规定。</w:t>
            </w:r>
          </w:p>
          <w:p w14:paraId="717E18F2">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4</w:t>
            </w:r>
            <w:r>
              <w:rPr>
                <w:rFonts w:hint="eastAsia" w:ascii="宋体" w:hAnsi="宋体"/>
                <w:bCs/>
                <w:color w:val="auto"/>
                <w:highlight w:val="none"/>
              </w:rPr>
              <w:t>）投标人法定代表人亲自签署投标文件的，提供了法定代表人身份证明，法定代表人身份证明符合招标文件规定。</w:t>
            </w:r>
          </w:p>
          <w:p w14:paraId="49A5A236">
            <w:pPr>
              <w:snapToGrid w:val="0"/>
              <w:spacing w:line="340" w:lineRule="exac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w:t>
            </w:r>
            <w:r>
              <w:rPr>
                <w:rFonts w:ascii="宋体" w:hAnsi="宋体"/>
                <w:color w:val="auto"/>
                <w:highlight w:val="none"/>
              </w:rPr>
              <w:t>投标人未对本项目提出分包计划</w:t>
            </w:r>
            <w:r>
              <w:rPr>
                <w:rFonts w:hint="eastAsia" w:ascii="宋体" w:hAnsi="宋体"/>
                <w:color w:val="auto"/>
                <w:highlight w:val="none"/>
              </w:rPr>
              <w:t>。</w:t>
            </w:r>
          </w:p>
          <w:p w14:paraId="5ED78D6B">
            <w:pPr>
              <w:snapToGrid w:val="0"/>
              <w:spacing w:line="340" w:lineRule="exac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6</w:t>
            </w:r>
            <w:r>
              <w:rPr>
                <w:rFonts w:hint="eastAsia" w:ascii="宋体" w:hAnsi="宋体"/>
                <w:color w:val="auto"/>
                <w:highlight w:val="none"/>
              </w:rPr>
              <w:t>）投标人未以联合体形式投标。</w:t>
            </w:r>
          </w:p>
          <w:p w14:paraId="1FB683CD">
            <w:pPr>
              <w:adjustRightInd w:val="0"/>
              <w:snapToGrid w:val="0"/>
              <w:spacing w:line="340" w:lineRule="exact"/>
              <w:jc w:val="left"/>
              <w:rPr>
                <w:rFonts w:ascii="宋体" w:hAnsi="宋体"/>
                <w:bCs/>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7</w:t>
            </w:r>
            <w:r>
              <w:rPr>
                <w:rFonts w:hint="eastAsia" w:ascii="宋体" w:hAnsi="宋体"/>
                <w:color w:val="auto"/>
                <w:highlight w:val="none"/>
              </w:rPr>
              <w:t>）</w:t>
            </w:r>
            <w:r>
              <w:rPr>
                <w:rFonts w:hint="eastAsia" w:ascii="宋体" w:hAnsi="宋体"/>
                <w:bCs/>
                <w:color w:val="auto"/>
                <w:highlight w:val="none"/>
              </w:rPr>
              <w:t>同一投标人未提交两个以上不同的投标文件。</w:t>
            </w:r>
          </w:p>
          <w:p w14:paraId="5BB8C74D">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8</w:t>
            </w:r>
            <w:r>
              <w:rPr>
                <w:rFonts w:hint="eastAsia" w:ascii="宋体" w:hAnsi="宋体"/>
                <w:bCs/>
                <w:color w:val="auto"/>
                <w:highlight w:val="none"/>
              </w:rPr>
              <w:t>）同一投标人未提交两个以上不同的投标报价。</w:t>
            </w:r>
          </w:p>
          <w:p w14:paraId="3B3091D4">
            <w:pPr>
              <w:adjustRightInd w:val="0"/>
              <w:snapToGrid w:val="0"/>
              <w:spacing w:line="340" w:lineRule="exact"/>
              <w:jc w:val="left"/>
              <w:rPr>
                <w:rFonts w:ascii="宋体" w:hAnsi="宋体"/>
                <w:bCs/>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9</w:t>
            </w:r>
            <w:r>
              <w:rPr>
                <w:rFonts w:hint="eastAsia" w:ascii="宋体" w:hAnsi="宋体"/>
                <w:bCs/>
                <w:color w:val="auto"/>
                <w:highlight w:val="none"/>
              </w:rPr>
              <w:t>）投标报价未超过招标文件设定的最高投标限价。</w:t>
            </w:r>
          </w:p>
          <w:p w14:paraId="1C217C38">
            <w:pPr>
              <w:adjustRightInd w:val="0"/>
              <w:snapToGrid w:val="0"/>
              <w:spacing w:line="340" w:lineRule="exact"/>
              <w:jc w:val="left"/>
              <w:rPr>
                <w:rFonts w:hint="eastAsia" w:ascii="宋体" w:hAnsi="宋体"/>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10</w:t>
            </w:r>
            <w:r>
              <w:rPr>
                <w:rFonts w:hint="eastAsia" w:ascii="宋体" w:hAnsi="宋体"/>
                <w:bCs/>
                <w:color w:val="auto"/>
                <w:highlight w:val="none"/>
              </w:rPr>
              <w:t>）投标报价的大写金额能够确定具体数值</w:t>
            </w:r>
            <w:r>
              <w:rPr>
                <w:rFonts w:hint="eastAsia" w:ascii="宋体" w:hAnsi="宋体"/>
                <w:color w:val="auto"/>
                <w:highlight w:val="none"/>
              </w:rPr>
              <w:t>。</w:t>
            </w:r>
          </w:p>
          <w:p w14:paraId="4D2EE8B5">
            <w:pPr>
              <w:adjustRightInd w:val="0"/>
              <w:snapToGrid w:val="0"/>
              <w:spacing w:line="340" w:lineRule="exact"/>
              <w:jc w:val="left"/>
              <w:rPr>
                <w:rFonts w:hint="eastAsia" w:ascii="宋体" w:hAnsi="宋体" w:eastAsia="宋体"/>
                <w:color w:val="auto"/>
                <w:highlight w:val="none"/>
                <w:lang w:eastAsia="zh-CN"/>
              </w:rPr>
            </w:pPr>
            <w:r>
              <w:rPr>
                <w:rFonts w:hint="eastAsia" w:ascii="宋体" w:hAnsi="宋体"/>
                <w:color w:val="auto"/>
                <w:highlight w:val="none"/>
              </w:rPr>
              <w:t>（1</w:t>
            </w:r>
            <w:r>
              <w:rPr>
                <w:rFonts w:hint="eastAsia" w:ascii="宋体" w:hAnsi="宋体"/>
                <w:color w:val="auto"/>
                <w:highlight w:val="none"/>
                <w:lang w:val="en-US" w:eastAsia="zh-CN"/>
              </w:rPr>
              <w:t>1</w:t>
            </w:r>
            <w:r>
              <w:rPr>
                <w:rFonts w:hint="eastAsia" w:ascii="宋体" w:hAnsi="宋体"/>
                <w:color w:val="auto"/>
                <w:highlight w:val="none"/>
              </w:rPr>
              <w:t>）</w:t>
            </w:r>
            <w:r>
              <w:rPr>
                <w:rFonts w:hint="eastAsia" w:ascii="宋体" w:hAnsi="宋体"/>
                <w:color w:val="auto"/>
                <w:highlight w:val="none"/>
                <w:lang w:val="en-US" w:eastAsia="zh-CN"/>
              </w:rPr>
              <w:t>分项报价表</w:t>
            </w:r>
            <w:r>
              <w:rPr>
                <w:rFonts w:hint="eastAsia" w:ascii="宋体" w:hAnsi="宋体"/>
                <w:color w:val="auto"/>
                <w:highlight w:val="none"/>
              </w:rPr>
              <w:t>中的投标报价和投标函大写金额报价一致</w:t>
            </w:r>
            <w:r>
              <w:rPr>
                <w:rFonts w:hint="eastAsia" w:ascii="宋体" w:hAnsi="宋体"/>
                <w:color w:val="auto"/>
                <w:highlight w:val="none"/>
                <w:lang w:eastAsia="zh-CN"/>
              </w:rPr>
              <w:t>。</w:t>
            </w:r>
          </w:p>
          <w:p w14:paraId="5802EFDC">
            <w:pPr>
              <w:adjustRightInd w:val="0"/>
              <w:snapToGrid w:val="0"/>
              <w:spacing w:line="340" w:lineRule="exact"/>
              <w:jc w:val="left"/>
              <w:rPr>
                <w:rFonts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2</w:t>
            </w:r>
            <w:r>
              <w:rPr>
                <w:rFonts w:hint="eastAsia" w:ascii="宋体" w:hAnsi="宋体"/>
                <w:color w:val="auto"/>
                <w:highlight w:val="none"/>
              </w:rPr>
              <w:t>）投标文件载明的招标项目完成期限符合招标文件规定。</w:t>
            </w:r>
          </w:p>
          <w:p w14:paraId="0C5E34A2">
            <w:pPr>
              <w:adjustRightInd w:val="0"/>
              <w:snapToGrid w:val="0"/>
              <w:spacing w:line="340" w:lineRule="exact"/>
              <w:jc w:val="left"/>
              <w:rPr>
                <w:rFonts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3</w:t>
            </w:r>
            <w:r>
              <w:rPr>
                <w:rFonts w:hint="eastAsia" w:ascii="宋体" w:hAnsi="宋体"/>
                <w:color w:val="auto"/>
                <w:highlight w:val="none"/>
              </w:rPr>
              <w:t>）投标文件对招标文件的实质性要求和条件作出响应。</w:t>
            </w:r>
          </w:p>
          <w:p w14:paraId="303C6812">
            <w:pPr>
              <w:adjustRightInd w:val="0"/>
              <w:snapToGrid w:val="0"/>
              <w:spacing w:line="340" w:lineRule="exact"/>
              <w:jc w:val="left"/>
              <w:rPr>
                <w:rFonts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4</w:t>
            </w:r>
            <w:r>
              <w:rPr>
                <w:rFonts w:hint="eastAsia" w:ascii="宋体" w:hAnsi="宋体"/>
                <w:color w:val="auto"/>
                <w:highlight w:val="none"/>
              </w:rPr>
              <w:t>）权利义务符合招标文件规定：</w:t>
            </w:r>
          </w:p>
          <w:p w14:paraId="20946920">
            <w:pPr>
              <w:adjustRightInd w:val="0"/>
              <w:snapToGrid w:val="0"/>
              <w:spacing w:line="340" w:lineRule="exact"/>
              <w:jc w:val="left"/>
              <w:rPr>
                <w:rFonts w:ascii="宋体" w:hAnsi="宋体"/>
                <w:color w:val="auto"/>
                <w:highlight w:val="none"/>
              </w:rPr>
            </w:pPr>
            <w:r>
              <w:rPr>
                <w:rFonts w:hint="eastAsia" w:ascii="宋体" w:hAnsi="宋体"/>
                <w:color w:val="auto"/>
                <w:highlight w:val="none"/>
              </w:rPr>
              <w:t>a.投标人应接受招标文件规定的风险划分原则，未提出新的风险划分办法；</w:t>
            </w:r>
          </w:p>
          <w:p w14:paraId="750725D5">
            <w:pPr>
              <w:adjustRightInd w:val="0"/>
              <w:snapToGrid w:val="0"/>
              <w:spacing w:line="340" w:lineRule="exact"/>
              <w:jc w:val="left"/>
              <w:rPr>
                <w:rFonts w:ascii="宋体" w:hAnsi="宋体"/>
                <w:color w:val="auto"/>
                <w:highlight w:val="none"/>
              </w:rPr>
            </w:pPr>
            <w:r>
              <w:rPr>
                <w:rFonts w:hint="eastAsia" w:ascii="宋体" w:hAnsi="宋体"/>
                <w:color w:val="auto"/>
                <w:highlight w:val="none"/>
              </w:rPr>
              <w:t>b.投标人未增加委托人的责任范围，或减少投标人义务；</w:t>
            </w:r>
          </w:p>
          <w:p w14:paraId="3A3E19CB">
            <w:pPr>
              <w:adjustRightInd w:val="0"/>
              <w:snapToGrid w:val="0"/>
              <w:spacing w:line="340" w:lineRule="exact"/>
              <w:jc w:val="left"/>
              <w:rPr>
                <w:rFonts w:ascii="宋体" w:hAnsi="宋体"/>
                <w:color w:val="auto"/>
                <w:highlight w:val="none"/>
              </w:rPr>
            </w:pPr>
            <w:r>
              <w:rPr>
                <w:rFonts w:hint="eastAsia" w:ascii="宋体" w:hAnsi="宋体"/>
                <w:color w:val="auto"/>
                <w:highlight w:val="none"/>
              </w:rPr>
              <w:t>c.投标人未提出不同的支付办法；</w:t>
            </w:r>
          </w:p>
          <w:p w14:paraId="3DC099DC">
            <w:pPr>
              <w:adjustRightInd w:val="0"/>
              <w:snapToGrid w:val="0"/>
              <w:spacing w:line="340" w:lineRule="exact"/>
              <w:jc w:val="left"/>
              <w:rPr>
                <w:rFonts w:ascii="宋体" w:hAnsi="宋体"/>
                <w:color w:val="auto"/>
                <w:highlight w:val="none"/>
              </w:rPr>
            </w:pPr>
            <w:r>
              <w:rPr>
                <w:rFonts w:hint="eastAsia" w:ascii="宋体" w:hAnsi="宋体"/>
                <w:color w:val="auto"/>
                <w:highlight w:val="none"/>
              </w:rPr>
              <w:t>d.投标人对合同纠纷、事故处理办法未提出异议；</w:t>
            </w:r>
          </w:p>
          <w:p w14:paraId="189F92BB">
            <w:pPr>
              <w:adjustRightInd w:val="0"/>
              <w:snapToGrid w:val="0"/>
              <w:spacing w:line="340" w:lineRule="exact"/>
              <w:jc w:val="left"/>
              <w:rPr>
                <w:rFonts w:ascii="宋体" w:hAnsi="宋体"/>
                <w:color w:val="auto"/>
                <w:highlight w:val="none"/>
              </w:rPr>
            </w:pPr>
            <w:r>
              <w:rPr>
                <w:rFonts w:hint="eastAsia" w:ascii="宋体" w:hAnsi="宋体"/>
                <w:color w:val="auto"/>
                <w:highlight w:val="none"/>
              </w:rPr>
              <w:t>e.投标人在投标活动中无欺诈行为；</w:t>
            </w:r>
          </w:p>
          <w:p w14:paraId="5FCAC0EC">
            <w:pPr>
              <w:adjustRightInd w:val="0"/>
              <w:snapToGrid w:val="0"/>
              <w:spacing w:line="340" w:lineRule="exact"/>
              <w:jc w:val="left"/>
              <w:rPr>
                <w:rFonts w:ascii="宋体" w:hAnsi="宋体"/>
                <w:color w:val="auto"/>
                <w:highlight w:val="none"/>
              </w:rPr>
            </w:pPr>
            <w:r>
              <w:rPr>
                <w:rFonts w:hint="eastAsia" w:ascii="宋体" w:hAnsi="宋体"/>
                <w:color w:val="auto"/>
                <w:highlight w:val="none"/>
              </w:rPr>
              <w:t>f.投标人未对合同条款有重要保留。</w:t>
            </w:r>
          </w:p>
          <w:p w14:paraId="039A933B">
            <w:pPr>
              <w:snapToGrid w:val="0"/>
              <w:spacing w:line="340" w:lineRule="exact"/>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5</w:t>
            </w:r>
            <w:r>
              <w:rPr>
                <w:rFonts w:hint="eastAsia" w:ascii="宋体" w:hAnsi="宋体"/>
                <w:color w:val="auto"/>
                <w:highlight w:val="none"/>
              </w:rPr>
              <w:t>）投标人不存在投标人须知前附表4.4(1)、(3)项规定的情形。</w:t>
            </w:r>
          </w:p>
          <w:p w14:paraId="7369C594">
            <w:pPr>
              <w:snapToGrid w:val="0"/>
              <w:spacing w:line="340" w:lineRule="exact"/>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）投标人不存在因投标人须知前附表4.4(2)项规定的情形被评标委员会认定为投标文件异常一致或投标活动异常关联活动情形。</w:t>
            </w:r>
          </w:p>
        </w:tc>
      </w:tr>
      <w:tr w14:paraId="6A2B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3032D2E0">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2.1.2</w:t>
            </w:r>
          </w:p>
        </w:tc>
        <w:tc>
          <w:tcPr>
            <w:tcW w:w="1231" w:type="dxa"/>
            <w:tcBorders>
              <w:top w:val="single" w:color="auto" w:sz="4" w:space="0"/>
              <w:left w:val="single" w:color="auto" w:sz="4" w:space="0"/>
              <w:bottom w:val="single" w:color="auto" w:sz="4" w:space="0"/>
              <w:right w:val="single" w:color="auto" w:sz="4" w:space="0"/>
            </w:tcBorders>
            <w:vAlign w:val="center"/>
          </w:tcPr>
          <w:p w14:paraId="357F252B">
            <w:pPr>
              <w:snapToGrid w:val="0"/>
              <w:spacing w:line="340" w:lineRule="exact"/>
              <w:jc w:val="center"/>
              <w:rPr>
                <w:rFonts w:ascii="宋体" w:hAnsi="宋体" w:cs="宋体"/>
                <w:color w:val="auto"/>
                <w:kern w:val="28"/>
                <w:highlight w:val="none"/>
              </w:rPr>
            </w:pPr>
            <w:r>
              <w:rPr>
                <w:rFonts w:hint="eastAsia" w:ascii="宋体" w:hAnsi="宋体"/>
                <w:color w:val="auto"/>
                <w:kern w:val="28"/>
                <w:highlight w:val="none"/>
              </w:rPr>
              <w:t>资格评审标准</w:t>
            </w:r>
          </w:p>
        </w:tc>
        <w:tc>
          <w:tcPr>
            <w:tcW w:w="7452" w:type="dxa"/>
            <w:tcBorders>
              <w:top w:val="single" w:color="auto" w:sz="4" w:space="0"/>
              <w:left w:val="single" w:color="auto" w:sz="4" w:space="0"/>
              <w:bottom w:val="single" w:color="auto" w:sz="4" w:space="0"/>
              <w:right w:val="single" w:color="auto" w:sz="4" w:space="0"/>
            </w:tcBorders>
          </w:tcPr>
          <w:p w14:paraId="64F2F0B7">
            <w:pPr>
              <w:snapToGrid w:val="0"/>
              <w:spacing w:line="340" w:lineRule="exact"/>
              <w:rPr>
                <w:rFonts w:ascii="宋体" w:hAnsi="宋体" w:cs="宋体"/>
                <w:color w:val="auto"/>
                <w:highlight w:val="none"/>
              </w:rPr>
            </w:pPr>
            <w:r>
              <w:rPr>
                <w:rFonts w:hint="eastAsia" w:ascii="宋体" w:hAnsi="宋体"/>
                <w:color w:val="auto"/>
                <w:highlight w:val="none"/>
              </w:rPr>
              <w:t>（1）</w:t>
            </w:r>
            <w:r>
              <w:rPr>
                <w:rFonts w:hint="eastAsia" w:ascii="宋体" w:hAnsi="宋体"/>
                <w:color w:val="auto"/>
                <w:kern w:val="28"/>
                <w:highlight w:val="none"/>
              </w:rPr>
              <w:t>投标人具备有效的营业执照</w:t>
            </w:r>
            <w:r>
              <w:rPr>
                <w:rFonts w:hint="eastAsia"/>
                <w:color w:val="auto"/>
                <w:highlight w:val="none"/>
              </w:rPr>
              <w:t>或事业单位法人证书</w:t>
            </w:r>
            <w:r>
              <w:rPr>
                <w:rFonts w:hint="eastAsia" w:ascii="宋体" w:hAnsi="宋体"/>
                <w:color w:val="auto"/>
                <w:kern w:val="28"/>
                <w:highlight w:val="none"/>
              </w:rPr>
              <w:t>、基本账户开户许可证（或基本存款账户信息）。</w:t>
            </w:r>
          </w:p>
          <w:p w14:paraId="6C7AD183">
            <w:pPr>
              <w:adjustRightInd w:val="0"/>
              <w:snapToGrid w:val="0"/>
              <w:spacing w:line="340" w:lineRule="exact"/>
              <w:jc w:val="left"/>
              <w:rPr>
                <w:rFonts w:ascii="宋体" w:hAnsi="宋体"/>
                <w:color w:val="auto"/>
                <w:highlight w:val="none"/>
              </w:rPr>
            </w:pPr>
            <w:r>
              <w:rPr>
                <w:rFonts w:hint="eastAsia" w:ascii="宋体" w:hAnsi="宋体"/>
                <w:color w:val="auto"/>
                <w:highlight w:val="none"/>
              </w:rPr>
              <w:t>（2）投标人的资质条件符合招标文件的规定。</w:t>
            </w:r>
          </w:p>
          <w:p w14:paraId="4E2C6287">
            <w:pPr>
              <w:adjustRightInd w:val="0"/>
              <w:snapToGrid w:val="0"/>
              <w:spacing w:line="340" w:lineRule="exact"/>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）投标人的</w:t>
            </w:r>
            <w:r>
              <w:rPr>
                <w:rFonts w:hint="eastAsia" w:ascii="宋体" w:hAnsi="宋体"/>
                <w:color w:val="auto"/>
                <w:highlight w:val="none"/>
                <w:lang w:val="en-US" w:eastAsia="zh-CN"/>
              </w:rPr>
              <w:t>业绩</w:t>
            </w:r>
            <w:r>
              <w:rPr>
                <w:rFonts w:hint="eastAsia" w:ascii="宋体" w:hAnsi="宋体"/>
                <w:color w:val="auto"/>
                <w:highlight w:val="none"/>
              </w:rPr>
              <w:t>符合招标文件规定。</w:t>
            </w:r>
          </w:p>
          <w:p w14:paraId="003B9D4D">
            <w:pPr>
              <w:adjustRightInd w:val="0"/>
              <w:snapToGrid w:val="0"/>
              <w:spacing w:line="340" w:lineRule="exact"/>
              <w:jc w:val="left"/>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）投标人的信誉符合招标文件规定。</w:t>
            </w:r>
          </w:p>
          <w:p w14:paraId="79DC1C4D">
            <w:pPr>
              <w:adjustRightInd w:val="0"/>
              <w:snapToGrid w:val="0"/>
              <w:spacing w:line="340" w:lineRule="exact"/>
              <w:jc w:val="left"/>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）投标人的</w:t>
            </w:r>
            <w:r>
              <w:rPr>
                <w:rFonts w:hint="eastAsia" w:ascii="宋体" w:hAnsi="宋体"/>
                <w:color w:val="auto"/>
                <w:highlight w:val="none"/>
                <w:lang w:val="en-US" w:eastAsia="zh-CN"/>
              </w:rPr>
              <w:t>其他要求</w:t>
            </w:r>
            <w:r>
              <w:rPr>
                <w:rFonts w:hint="eastAsia" w:ascii="宋体" w:hAnsi="宋体"/>
                <w:color w:val="auto"/>
                <w:highlight w:val="none"/>
              </w:rPr>
              <w:t>符合招标文件规定。</w:t>
            </w:r>
          </w:p>
          <w:p w14:paraId="3D925EE5">
            <w:pPr>
              <w:adjustRightInd w:val="0"/>
              <w:snapToGrid w:val="0"/>
              <w:spacing w:line="340" w:lineRule="exact"/>
              <w:jc w:val="left"/>
              <w:rPr>
                <w:rFonts w:ascii="宋体" w:hAnsi="宋体" w:cs="宋体"/>
                <w:color w:val="auto"/>
                <w:kern w:val="28"/>
                <w:highlight w:val="none"/>
              </w:rPr>
            </w:pPr>
            <w:r>
              <w:rPr>
                <w:rFonts w:hint="eastAsia" w:ascii="宋体" w:hAnsi="宋体"/>
                <w:color w:val="auto"/>
                <w:highlight w:val="none"/>
              </w:rPr>
              <w:t>（</w:t>
            </w:r>
            <w:r>
              <w:rPr>
                <w:rFonts w:hint="eastAsia" w:ascii="宋体" w:hAnsi="宋体"/>
                <w:color w:val="auto"/>
                <w:highlight w:val="none"/>
                <w:lang w:val="en-US" w:eastAsia="zh-CN"/>
              </w:rPr>
              <w:t>6</w:t>
            </w:r>
            <w:r>
              <w:rPr>
                <w:rFonts w:hint="eastAsia" w:ascii="宋体" w:hAnsi="宋体"/>
                <w:color w:val="auto"/>
                <w:highlight w:val="none"/>
              </w:rPr>
              <w:t>）投标人不存在第二章“投标人须知”第1.4.3项规定的任何一种情形。</w:t>
            </w:r>
          </w:p>
        </w:tc>
      </w:tr>
      <w:tr w14:paraId="73B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01881F2E">
            <w:pPr>
              <w:autoSpaceDE w:val="0"/>
              <w:autoSpaceDN w:val="0"/>
              <w:adjustRightInd w:val="0"/>
              <w:snapToGrid w:val="0"/>
              <w:spacing w:after="100" w:afterAutospacing="1" w:line="340" w:lineRule="exact"/>
              <w:jc w:val="center"/>
              <w:rPr>
                <w:rFonts w:ascii="宋体" w:cs="宋体"/>
                <w:color w:val="auto"/>
                <w:kern w:val="0"/>
                <w:highlight w:val="none"/>
              </w:rPr>
            </w:pPr>
            <w:r>
              <w:rPr>
                <w:rFonts w:ascii="宋体" w:hAnsi="宋体" w:cs="宋体"/>
                <w:color w:val="auto"/>
                <w:kern w:val="0"/>
                <w:highlight w:val="none"/>
              </w:rPr>
              <w:t>2.2.1</w:t>
            </w:r>
          </w:p>
        </w:tc>
        <w:tc>
          <w:tcPr>
            <w:tcW w:w="1231" w:type="dxa"/>
            <w:tcBorders>
              <w:top w:val="single" w:color="auto" w:sz="4" w:space="0"/>
              <w:left w:val="single" w:color="auto" w:sz="4" w:space="0"/>
              <w:bottom w:val="single" w:color="auto" w:sz="4" w:space="0"/>
              <w:right w:val="single" w:color="auto" w:sz="4" w:space="0"/>
            </w:tcBorders>
            <w:vAlign w:val="center"/>
          </w:tcPr>
          <w:p w14:paraId="518F3878">
            <w:pPr>
              <w:autoSpaceDE w:val="0"/>
              <w:autoSpaceDN w:val="0"/>
              <w:adjustRightInd w:val="0"/>
              <w:snapToGrid/>
              <w:spacing w:after="100" w:afterAutospacing="1" w:line="340" w:lineRule="exact"/>
              <w:jc w:val="center"/>
              <w:rPr>
                <w:rFonts w:ascii="宋体" w:cs="宋体"/>
                <w:color w:val="auto"/>
                <w:kern w:val="0"/>
                <w:highlight w:val="none"/>
              </w:rPr>
            </w:pPr>
            <w:r>
              <w:rPr>
                <w:rFonts w:hint="eastAsia" w:ascii="宋体" w:hAnsi="宋体" w:cs="宋体"/>
                <w:color w:val="auto"/>
                <w:kern w:val="0"/>
                <w:highlight w:val="none"/>
              </w:rPr>
              <w:t>分值</w:t>
            </w:r>
            <w:r>
              <w:rPr>
                <w:rFonts w:hint="eastAsia" w:ascii="宋体" w:hAnsi="宋体" w:cs="宋体"/>
                <w:color w:val="auto"/>
                <w:spacing w:val="-2"/>
                <w:kern w:val="0"/>
                <w:highlight w:val="none"/>
              </w:rPr>
              <w:t>构</w:t>
            </w:r>
            <w:r>
              <w:rPr>
                <w:rFonts w:hint="eastAsia" w:ascii="宋体" w:hAnsi="宋体" w:cs="宋体"/>
                <w:color w:val="auto"/>
                <w:kern w:val="0"/>
                <w:highlight w:val="none"/>
              </w:rPr>
              <w:t>成</w:t>
            </w:r>
            <w:r>
              <w:rPr>
                <w:rFonts w:ascii="宋体" w:hAnsi="宋体" w:cs="宋体"/>
                <w:color w:val="auto"/>
                <w:spacing w:val="-1"/>
                <w:kern w:val="0"/>
                <w:highlight w:val="none"/>
              </w:rPr>
              <w:t>(</w:t>
            </w:r>
            <w:r>
              <w:rPr>
                <w:rFonts w:hint="eastAsia" w:ascii="宋体" w:hAnsi="宋体" w:cs="宋体"/>
                <w:color w:val="auto"/>
                <w:kern w:val="0"/>
                <w:highlight w:val="none"/>
              </w:rPr>
              <w:t>总分</w:t>
            </w:r>
            <w:r>
              <w:rPr>
                <w:rFonts w:ascii="宋体" w:hAnsi="宋体" w:cs="宋体"/>
                <w:color w:val="auto"/>
                <w:kern w:val="0"/>
                <w:highlight w:val="none"/>
              </w:rPr>
              <w:t>1</w:t>
            </w:r>
            <w:r>
              <w:rPr>
                <w:rFonts w:ascii="宋体" w:cs="宋体"/>
                <w:color w:val="auto"/>
                <w:spacing w:val="-2"/>
                <w:kern w:val="0"/>
                <w:highlight w:val="none"/>
              </w:rPr>
              <w:t>0</w:t>
            </w:r>
            <w:r>
              <w:rPr>
                <w:rFonts w:ascii="宋体" w:hAnsi="宋体" w:cs="宋体"/>
                <w:color w:val="auto"/>
                <w:kern w:val="0"/>
                <w:highlight w:val="none"/>
              </w:rPr>
              <w:t xml:space="preserve">0 </w:t>
            </w:r>
            <w:r>
              <w:rPr>
                <w:rFonts w:hint="eastAsia" w:ascii="宋体" w:hAnsi="宋体" w:cs="宋体"/>
                <w:color w:val="auto"/>
                <w:kern w:val="0"/>
                <w:highlight w:val="none"/>
              </w:rPr>
              <w:t>分</w:t>
            </w:r>
            <w:r>
              <w:rPr>
                <w:rFonts w:ascii="宋体" w:hAnsi="宋体" w:cs="宋体"/>
                <w:color w:val="auto"/>
                <w:kern w:val="0"/>
                <w:highlight w:val="none"/>
              </w:rPr>
              <w:t>)</w:t>
            </w:r>
          </w:p>
        </w:tc>
        <w:tc>
          <w:tcPr>
            <w:tcW w:w="7452" w:type="dxa"/>
            <w:tcBorders>
              <w:top w:val="single" w:color="auto" w:sz="4" w:space="0"/>
              <w:left w:val="single" w:color="auto" w:sz="4" w:space="0"/>
              <w:bottom w:val="single" w:color="auto" w:sz="4" w:space="0"/>
              <w:right w:val="single" w:color="auto" w:sz="4" w:space="0"/>
            </w:tcBorders>
          </w:tcPr>
          <w:p w14:paraId="00543661">
            <w:pPr>
              <w:autoSpaceDE w:val="0"/>
              <w:autoSpaceDN w:val="0"/>
              <w:adjustRightInd w:val="0"/>
              <w:snapToGrid w:val="0"/>
              <w:spacing w:line="340" w:lineRule="exact"/>
              <w:rPr>
                <w:rFonts w:ascii="宋体" w:cs="宋体"/>
                <w:color w:val="auto"/>
                <w:kern w:val="0"/>
                <w:highlight w:val="none"/>
                <w:u w:val="single"/>
              </w:rPr>
            </w:pPr>
            <w:r>
              <w:rPr>
                <w:rFonts w:hint="eastAsia" w:ascii="宋体" w:hAnsi="宋体" w:cs="宋体"/>
                <w:color w:val="auto"/>
                <w:kern w:val="0"/>
                <w:highlight w:val="none"/>
              </w:rPr>
              <w:t>业绩</w:t>
            </w:r>
            <w:r>
              <w:rPr>
                <w:rFonts w:hint="eastAsia" w:ascii="宋体" w:hAnsi="宋体" w:cs="宋体"/>
                <w:color w:val="auto"/>
                <w:spacing w:val="-2"/>
                <w:kern w:val="0"/>
                <w:highlight w:val="none"/>
              </w:rPr>
              <w:t>部</w:t>
            </w:r>
            <w:r>
              <w:rPr>
                <w:rFonts w:hint="eastAsia" w:ascii="宋体" w:hAnsi="宋体" w:cs="宋体"/>
                <w:color w:val="auto"/>
                <w:kern w:val="0"/>
                <w:highlight w:val="none"/>
              </w:rPr>
              <w:t>分</w:t>
            </w:r>
            <w:r>
              <w:rPr>
                <w:rFonts w:hint="eastAsia" w:ascii="宋体" w:hAnsi="宋体" w:cs="宋体"/>
                <w:color w:val="auto"/>
                <w:spacing w:val="-2"/>
                <w:kern w:val="0"/>
                <w:highlight w:val="none"/>
              </w:rPr>
              <w:t>：</w:t>
            </w:r>
            <w:r>
              <w:rPr>
                <w:rFonts w:hint="eastAsia" w:ascii="宋体" w:hAnsi="宋体" w:cs="宋体"/>
                <w:color w:val="auto"/>
                <w:kern w:val="0"/>
                <w:highlight w:val="none"/>
                <w:u w:val="single"/>
                <w:lang w:val="en-US" w:eastAsia="zh-CN"/>
              </w:rPr>
              <w:t>2</w:t>
            </w:r>
            <w:r>
              <w:rPr>
                <w:rFonts w:hint="eastAsia" w:ascii="宋体" w:hAnsi="宋体" w:cs="宋体"/>
                <w:color w:val="auto"/>
                <w:kern w:val="0"/>
                <w:highlight w:val="none"/>
                <w:u w:val="single"/>
              </w:rPr>
              <w:t>0分</w:t>
            </w:r>
          </w:p>
          <w:p w14:paraId="347C21CC">
            <w:pPr>
              <w:autoSpaceDE w:val="0"/>
              <w:autoSpaceDN w:val="0"/>
              <w:adjustRightInd w:val="0"/>
              <w:snapToGrid w:val="0"/>
              <w:spacing w:line="340" w:lineRule="exact"/>
              <w:rPr>
                <w:rFonts w:ascii="宋体" w:cs="宋体"/>
                <w:color w:val="auto"/>
                <w:kern w:val="0"/>
                <w:highlight w:val="none"/>
              </w:rPr>
            </w:pPr>
            <w:r>
              <w:rPr>
                <w:rFonts w:hint="eastAsia" w:ascii="宋体" w:hAnsi="宋体" w:cs="宋体"/>
                <w:color w:val="auto"/>
                <w:kern w:val="0"/>
                <w:highlight w:val="none"/>
              </w:rPr>
              <w:t>服务方案</w:t>
            </w:r>
            <w:r>
              <w:rPr>
                <w:rFonts w:hint="eastAsia" w:ascii="宋体" w:hAnsi="宋体" w:cs="宋体"/>
                <w:color w:val="auto"/>
                <w:spacing w:val="-2"/>
                <w:kern w:val="0"/>
                <w:highlight w:val="none"/>
              </w:rPr>
              <w:t>：</w:t>
            </w:r>
            <w:r>
              <w:rPr>
                <w:rFonts w:hint="eastAsia" w:ascii="宋体" w:hAnsi="宋体" w:cs="宋体"/>
                <w:color w:val="auto"/>
                <w:kern w:val="0"/>
                <w:highlight w:val="none"/>
                <w:u w:val="single"/>
                <w:lang w:val="en-US" w:eastAsia="zh-CN"/>
              </w:rPr>
              <w:t>5</w:t>
            </w:r>
            <w:r>
              <w:rPr>
                <w:rFonts w:hint="eastAsia" w:ascii="宋体" w:hAnsi="宋体" w:cs="宋体"/>
                <w:color w:val="auto"/>
                <w:kern w:val="0"/>
                <w:highlight w:val="none"/>
                <w:u w:val="single"/>
              </w:rPr>
              <w:t>0</w:t>
            </w:r>
            <w:r>
              <w:rPr>
                <w:rFonts w:hint="eastAsia" w:ascii="宋体" w:hAnsi="宋体" w:cs="宋体"/>
                <w:color w:val="auto"/>
                <w:kern w:val="0"/>
                <w:highlight w:val="none"/>
              </w:rPr>
              <w:t>分</w:t>
            </w:r>
            <w:r>
              <w:rPr>
                <w:rFonts w:ascii="宋体" w:hAnsi="宋体" w:cs="宋体"/>
                <w:color w:val="auto"/>
                <w:kern w:val="0"/>
                <w:highlight w:val="none"/>
              </w:rPr>
              <w:t xml:space="preserve"> </w:t>
            </w:r>
          </w:p>
          <w:p w14:paraId="357989AB">
            <w:pPr>
              <w:autoSpaceDE w:val="0"/>
              <w:autoSpaceDN w:val="0"/>
              <w:adjustRightInd w:val="0"/>
              <w:snapToGrid w:val="0"/>
              <w:spacing w:line="340" w:lineRule="exact"/>
              <w:rPr>
                <w:rFonts w:ascii="宋体" w:cs="宋体"/>
                <w:color w:val="auto"/>
                <w:kern w:val="0"/>
                <w:highlight w:val="none"/>
              </w:rPr>
            </w:pPr>
            <w:r>
              <w:rPr>
                <w:rFonts w:hint="eastAsia" w:ascii="宋体" w:hAnsi="宋体" w:cs="宋体"/>
                <w:color w:val="auto"/>
                <w:kern w:val="0"/>
                <w:highlight w:val="none"/>
              </w:rPr>
              <w:t>投标</w:t>
            </w:r>
            <w:r>
              <w:rPr>
                <w:rFonts w:hint="eastAsia" w:ascii="宋体" w:hAnsi="宋体" w:cs="宋体"/>
                <w:color w:val="auto"/>
                <w:spacing w:val="-2"/>
                <w:kern w:val="0"/>
                <w:highlight w:val="none"/>
              </w:rPr>
              <w:t>报</w:t>
            </w:r>
            <w:r>
              <w:rPr>
                <w:rFonts w:hint="eastAsia" w:ascii="宋体" w:hAnsi="宋体" w:cs="宋体"/>
                <w:color w:val="auto"/>
                <w:kern w:val="0"/>
                <w:highlight w:val="none"/>
              </w:rPr>
              <w:t>价</w:t>
            </w:r>
            <w:r>
              <w:rPr>
                <w:rFonts w:hint="eastAsia" w:ascii="宋体" w:hAnsi="宋体" w:cs="宋体"/>
                <w:color w:val="auto"/>
                <w:spacing w:val="-2"/>
                <w:kern w:val="0"/>
                <w:highlight w:val="none"/>
              </w:rPr>
              <w:t>：</w:t>
            </w:r>
            <w:r>
              <w:rPr>
                <w:rFonts w:hint="eastAsia" w:ascii="宋体" w:hAnsi="宋体" w:cs="宋体"/>
                <w:color w:val="auto"/>
                <w:spacing w:val="-2"/>
                <w:kern w:val="0"/>
                <w:highlight w:val="none"/>
                <w:lang w:val="en-US" w:eastAsia="zh-CN"/>
              </w:rPr>
              <w:t>3</w:t>
            </w:r>
            <w:r>
              <w:rPr>
                <w:rFonts w:hint="eastAsia" w:ascii="宋体" w:hAnsi="宋体" w:cs="宋体"/>
                <w:color w:val="auto"/>
                <w:kern w:val="0"/>
                <w:highlight w:val="none"/>
                <w:u w:val="single"/>
              </w:rPr>
              <w:t>0</w:t>
            </w:r>
            <w:r>
              <w:rPr>
                <w:rFonts w:hint="eastAsia" w:ascii="宋体" w:hAnsi="宋体" w:cs="宋体"/>
                <w:color w:val="auto"/>
                <w:kern w:val="0"/>
                <w:highlight w:val="none"/>
              </w:rPr>
              <w:t>分</w:t>
            </w:r>
          </w:p>
        </w:tc>
      </w:tr>
      <w:tr w14:paraId="4EFF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1B9C26C5">
            <w:pPr>
              <w:snapToGrid w:val="0"/>
              <w:spacing w:line="340" w:lineRule="exact"/>
              <w:ind w:right="113"/>
              <w:jc w:val="center"/>
              <w:rPr>
                <w:rFonts w:ascii="宋体" w:hAnsi="宋体" w:cs="宋体"/>
                <w:color w:val="auto"/>
                <w:kern w:val="28"/>
                <w:highlight w:val="none"/>
              </w:rPr>
            </w:pPr>
            <w:r>
              <w:rPr>
                <w:rFonts w:hint="eastAsia" w:ascii="宋体" w:hAnsi="宋体"/>
                <w:color w:val="auto"/>
                <w:kern w:val="28"/>
                <w:highlight w:val="none"/>
              </w:rPr>
              <w:t>2.2.2</w:t>
            </w:r>
          </w:p>
        </w:tc>
        <w:tc>
          <w:tcPr>
            <w:tcW w:w="1231" w:type="dxa"/>
            <w:tcBorders>
              <w:top w:val="single" w:color="auto" w:sz="4" w:space="0"/>
              <w:left w:val="single" w:color="auto" w:sz="4" w:space="0"/>
              <w:bottom w:val="single" w:color="auto" w:sz="4" w:space="0"/>
              <w:right w:val="single" w:color="auto" w:sz="4" w:space="0"/>
            </w:tcBorders>
            <w:vAlign w:val="center"/>
          </w:tcPr>
          <w:p w14:paraId="5CA0FCD9">
            <w:pPr>
              <w:snapToGrid w:val="0"/>
              <w:spacing w:line="340" w:lineRule="exact"/>
              <w:ind w:right="113"/>
              <w:rPr>
                <w:rFonts w:ascii="宋体" w:hAnsi="宋体" w:cs="宋体"/>
                <w:color w:val="auto"/>
                <w:kern w:val="28"/>
                <w:highlight w:val="none"/>
              </w:rPr>
            </w:pPr>
            <w:r>
              <w:rPr>
                <w:rFonts w:hint="eastAsia" w:ascii="宋体" w:hAnsi="宋体"/>
                <w:color w:val="auto"/>
                <w:kern w:val="28"/>
                <w:highlight w:val="none"/>
              </w:rPr>
              <w:t>评标基准价计算方法</w:t>
            </w:r>
          </w:p>
        </w:tc>
        <w:tc>
          <w:tcPr>
            <w:tcW w:w="7452" w:type="dxa"/>
            <w:tcBorders>
              <w:top w:val="single" w:color="auto" w:sz="4" w:space="0"/>
              <w:left w:val="single" w:color="auto" w:sz="4" w:space="0"/>
              <w:bottom w:val="single" w:color="auto" w:sz="4" w:space="0"/>
              <w:right w:val="single" w:color="auto" w:sz="4" w:space="0"/>
            </w:tcBorders>
            <w:vAlign w:val="center"/>
          </w:tcPr>
          <w:p w14:paraId="652BD258">
            <w:pPr>
              <w:spacing w:line="320" w:lineRule="exact"/>
              <w:rPr>
                <w:rFonts w:ascii="宋体" w:hAnsi="宋体" w:cs="宋体"/>
                <w:color w:val="auto"/>
                <w:kern w:val="28"/>
                <w:highlight w:val="none"/>
              </w:rPr>
            </w:pPr>
            <w:r>
              <w:rPr>
                <w:rFonts w:ascii="宋体" w:hAnsi="宋体" w:cs="宋体"/>
                <w:color w:val="auto"/>
                <w:kern w:val="28"/>
                <w:highlight w:val="none"/>
              </w:rPr>
              <w:t>评标基准价的计算：</w:t>
            </w:r>
          </w:p>
          <w:p w14:paraId="0AD330B9">
            <w:pPr>
              <w:spacing w:line="320" w:lineRule="exact"/>
              <w:rPr>
                <w:rFonts w:ascii="宋体" w:hAnsi="宋体" w:cs="宋体"/>
                <w:color w:val="auto"/>
                <w:kern w:val="28"/>
                <w:highlight w:val="none"/>
              </w:rPr>
            </w:pPr>
            <w:r>
              <w:rPr>
                <w:rFonts w:ascii="宋体" w:hAnsi="宋体" w:cs="宋体"/>
                <w:color w:val="auto"/>
                <w:kern w:val="28"/>
                <w:highlight w:val="none"/>
              </w:rPr>
              <w:t>在开标现场，招标人将当场计算并宣布评标基准价。</w:t>
            </w:r>
          </w:p>
          <w:p w14:paraId="475B2E8F">
            <w:pPr>
              <w:spacing w:line="320" w:lineRule="exact"/>
              <w:rPr>
                <w:rFonts w:ascii="宋体" w:hAnsi="宋体" w:cs="宋体"/>
                <w:color w:val="auto"/>
                <w:kern w:val="28"/>
                <w:highlight w:val="none"/>
              </w:rPr>
            </w:pPr>
            <w:r>
              <w:rPr>
                <w:rFonts w:ascii="宋体" w:hAnsi="宋体" w:cs="宋体"/>
                <w:color w:val="auto"/>
                <w:kern w:val="28"/>
                <w:highlight w:val="none"/>
              </w:rPr>
              <w:t>（1）评标价的确定：</w:t>
            </w:r>
          </w:p>
          <w:p w14:paraId="2C2FD4ED">
            <w:pPr>
              <w:spacing w:line="320" w:lineRule="exact"/>
              <w:rPr>
                <w:rFonts w:ascii="宋体" w:hAnsi="宋体" w:cs="宋体"/>
                <w:color w:val="auto"/>
                <w:kern w:val="28"/>
                <w:highlight w:val="none"/>
              </w:rPr>
            </w:pPr>
            <w:r>
              <w:rPr>
                <w:rFonts w:ascii="宋体" w:hAnsi="宋体" w:cs="宋体"/>
                <w:color w:val="auto"/>
                <w:kern w:val="28"/>
                <w:highlight w:val="none"/>
              </w:rPr>
              <w:t>评标价=投标函文字报价</w:t>
            </w:r>
          </w:p>
          <w:p w14:paraId="529F64F6">
            <w:pPr>
              <w:spacing w:line="320" w:lineRule="exact"/>
              <w:rPr>
                <w:rFonts w:ascii="宋体" w:hAnsi="宋体" w:cs="宋体"/>
                <w:color w:val="auto"/>
                <w:kern w:val="28"/>
                <w:highlight w:val="none"/>
              </w:rPr>
            </w:pPr>
            <w:r>
              <w:rPr>
                <w:rFonts w:ascii="宋体" w:hAnsi="宋体" w:cs="宋体"/>
                <w:color w:val="auto"/>
                <w:kern w:val="28"/>
                <w:highlight w:val="none"/>
              </w:rPr>
              <w:t>（2）评标价平均值的计算：</w:t>
            </w:r>
          </w:p>
          <w:p w14:paraId="3262D5F1">
            <w:pPr>
              <w:spacing w:line="320" w:lineRule="exact"/>
              <w:rPr>
                <w:rFonts w:ascii="宋体" w:hAnsi="宋体" w:cs="宋体"/>
                <w:color w:val="auto"/>
                <w:kern w:val="28"/>
                <w:highlight w:val="none"/>
              </w:rPr>
            </w:pPr>
            <w:r>
              <w:rPr>
                <w:rFonts w:ascii="宋体" w:hAnsi="宋体" w:cs="宋体"/>
                <w:color w:val="auto"/>
                <w:kern w:val="28"/>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33AB4F3A">
            <w:pPr>
              <w:spacing w:line="320" w:lineRule="exact"/>
              <w:rPr>
                <w:rFonts w:ascii="宋体" w:hAnsi="宋体" w:cs="宋体"/>
                <w:color w:val="auto"/>
                <w:kern w:val="28"/>
                <w:highlight w:val="none"/>
              </w:rPr>
            </w:pPr>
            <w:r>
              <w:rPr>
                <w:rFonts w:ascii="宋体" w:hAnsi="宋体" w:cs="宋体"/>
                <w:color w:val="auto"/>
                <w:kern w:val="28"/>
                <w:highlight w:val="none"/>
              </w:rPr>
              <w:t>（3）评标基准价的确定：</w:t>
            </w:r>
          </w:p>
          <w:p w14:paraId="0EC16757">
            <w:pPr>
              <w:spacing w:line="320" w:lineRule="exact"/>
              <w:rPr>
                <w:rFonts w:ascii="宋体" w:hAnsi="宋体" w:cs="宋体"/>
                <w:color w:val="auto"/>
                <w:kern w:val="28"/>
                <w:highlight w:val="none"/>
              </w:rPr>
            </w:pPr>
            <w:r>
              <w:rPr>
                <w:rFonts w:ascii="宋体" w:hAnsi="宋体" w:cs="宋体"/>
                <w:color w:val="auto"/>
                <w:kern w:val="28"/>
                <w:highlight w:val="none"/>
              </w:rPr>
              <w:t>将评标价平均值直接作为评标基准价（评标基准价保留小数点后两位，小数点后第三位四舍五入）。</w:t>
            </w:r>
          </w:p>
          <w:p w14:paraId="2A09A4C5">
            <w:pPr>
              <w:spacing w:line="320" w:lineRule="exact"/>
              <w:rPr>
                <w:rFonts w:ascii="宋体" w:hAnsi="宋体" w:cs="宋体"/>
                <w:color w:val="auto"/>
                <w:kern w:val="28"/>
                <w:highlight w:val="none"/>
              </w:rPr>
            </w:pPr>
            <w:r>
              <w:rPr>
                <w:rFonts w:ascii="宋体" w:hAnsi="宋体" w:cs="宋体"/>
                <w:color w:val="auto"/>
                <w:kern w:val="28"/>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06B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0BF2FD1E">
            <w:pPr>
              <w:snapToGrid w:val="0"/>
              <w:spacing w:line="340" w:lineRule="exact"/>
              <w:ind w:right="113"/>
              <w:jc w:val="center"/>
              <w:rPr>
                <w:rFonts w:ascii="宋体" w:hAnsi="宋体" w:cs="宋体"/>
                <w:color w:val="auto"/>
                <w:kern w:val="28"/>
                <w:highlight w:val="none"/>
              </w:rPr>
            </w:pPr>
            <w:r>
              <w:rPr>
                <w:rFonts w:hint="eastAsia" w:ascii="宋体" w:hAnsi="宋体"/>
                <w:color w:val="auto"/>
                <w:kern w:val="28"/>
                <w:highlight w:val="none"/>
              </w:rPr>
              <w:t>2.2.3</w:t>
            </w:r>
          </w:p>
        </w:tc>
        <w:tc>
          <w:tcPr>
            <w:tcW w:w="1231" w:type="dxa"/>
            <w:tcBorders>
              <w:top w:val="single" w:color="auto" w:sz="4" w:space="0"/>
              <w:left w:val="single" w:color="auto" w:sz="4" w:space="0"/>
              <w:bottom w:val="single" w:color="auto" w:sz="4" w:space="0"/>
              <w:right w:val="single" w:color="auto" w:sz="4" w:space="0"/>
            </w:tcBorders>
            <w:vAlign w:val="center"/>
          </w:tcPr>
          <w:p w14:paraId="37266B9B">
            <w:pPr>
              <w:snapToGrid w:val="0"/>
              <w:spacing w:line="340" w:lineRule="exact"/>
              <w:ind w:left="113" w:right="113"/>
              <w:rPr>
                <w:rFonts w:ascii="宋体" w:hAnsi="宋体" w:cs="宋体"/>
                <w:color w:val="auto"/>
                <w:kern w:val="28"/>
                <w:highlight w:val="none"/>
              </w:rPr>
            </w:pPr>
            <w:r>
              <w:rPr>
                <w:rFonts w:hint="eastAsia" w:ascii="宋体" w:hAnsi="宋体"/>
                <w:color w:val="auto"/>
                <w:kern w:val="28"/>
                <w:highlight w:val="none"/>
              </w:rPr>
              <w:t>评标价的偏差率计算公式</w:t>
            </w:r>
          </w:p>
        </w:tc>
        <w:tc>
          <w:tcPr>
            <w:tcW w:w="7452" w:type="dxa"/>
            <w:tcBorders>
              <w:top w:val="single" w:color="auto" w:sz="4" w:space="0"/>
              <w:left w:val="single" w:color="auto" w:sz="4" w:space="0"/>
              <w:bottom w:val="single" w:color="auto" w:sz="4" w:space="0"/>
              <w:right w:val="single" w:color="auto" w:sz="4" w:space="0"/>
            </w:tcBorders>
            <w:vAlign w:val="center"/>
          </w:tcPr>
          <w:p w14:paraId="0A76577E">
            <w:pPr>
              <w:snapToGrid w:val="0"/>
              <w:spacing w:line="340" w:lineRule="exact"/>
              <w:ind w:right="113"/>
              <w:rPr>
                <w:color w:val="auto"/>
                <w:highlight w:val="none"/>
              </w:rPr>
            </w:pPr>
            <w:r>
              <w:rPr>
                <w:rFonts w:hint="eastAsia" w:ascii="宋体" w:hAnsi="宋体" w:cs="宋体"/>
                <w:color w:val="auto"/>
                <w:highlight w:val="none"/>
              </w:rPr>
              <w:t>偏差率=100%×(投标人评标价-评标基准价)/评标基准价</w:t>
            </w:r>
          </w:p>
        </w:tc>
      </w:tr>
      <w:tr w14:paraId="739E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14:paraId="45A7C88E">
            <w:pPr>
              <w:snapToGrid w:val="0"/>
              <w:spacing w:line="340" w:lineRule="exact"/>
              <w:jc w:val="center"/>
              <w:rPr>
                <w:rFonts w:ascii="宋体" w:hAnsi="宋体" w:cs="宋体"/>
                <w:color w:val="auto"/>
                <w:kern w:val="28"/>
                <w:highlight w:val="none"/>
              </w:rPr>
            </w:pPr>
            <w:r>
              <w:rPr>
                <w:rFonts w:hint="eastAsia" w:ascii="宋体" w:hAnsi="宋体"/>
                <w:color w:val="auto"/>
                <w:highlight w:val="none"/>
              </w:rPr>
              <w:t>3.5.1</w:t>
            </w:r>
          </w:p>
        </w:tc>
        <w:tc>
          <w:tcPr>
            <w:tcW w:w="1231" w:type="dxa"/>
            <w:tcBorders>
              <w:top w:val="single" w:color="auto" w:sz="4" w:space="0"/>
              <w:left w:val="single" w:color="auto" w:sz="4" w:space="0"/>
              <w:bottom w:val="single" w:color="auto" w:sz="4" w:space="0"/>
              <w:right w:val="single" w:color="auto" w:sz="4" w:space="0"/>
            </w:tcBorders>
            <w:vAlign w:val="center"/>
          </w:tcPr>
          <w:p w14:paraId="3A0C6602">
            <w:pPr>
              <w:adjustRightInd w:val="0"/>
              <w:snapToGrid w:val="0"/>
              <w:spacing w:line="340" w:lineRule="exact"/>
              <w:rPr>
                <w:rFonts w:ascii="宋体" w:hAnsi="宋体" w:cs="宋体"/>
                <w:color w:val="auto"/>
                <w:kern w:val="28"/>
                <w:highlight w:val="none"/>
              </w:rPr>
            </w:pPr>
            <w:r>
              <w:rPr>
                <w:rFonts w:hint="eastAsia" w:ascii="宋体" w:hAnsi="宋体"/>
                <w:color w:val="auto"/>
                <w:highlight w:val="none"/>
              </w:rPr>
              <w:t>投标文件相关信息的核查</w:t>
            </w:r>
          </w:p>
        </w:tc>
        <w:tc>
          <w:tcPr>
            <w:tcW w:w="7452" w:type="dxa"/>
            <w:tcBorders>
              <w:top w:val="single" w:color="auto" w:sz="4" w:space="0"/>
              <w:left w:val="single" w:color="auto" w:sz="4" w:space="0"/>
              <w:bottom w:val="single" w:color="auto" w:sz="4" w:space="0"/>
              <w:right w:val="single" w:color="auto" w:sz="4" w:space="0"/>
            </w:tcBorders>
            <w:vAlign w:val="center"/>
          </w:tcPr>
          <w:p w14:paraId="1C50597B">
            <w:pPr>
              <w:adjustRightInd w:val="0"/>
              <w:snapToGrid w:val="0"/>
              <w:spacing w:line="340" w:lineRule="exact"/>
              <w:rPr>
                <w:rFonts w:ascii="等线" w:hAnsi="等线" w:eastAsia="等线" w:cs="宋体"/>
                <w:color w:val="auto"/>
                <w:highlight w:val="none"/>
              </w:rPr>
            </w:pPr>
            <w:r>
              <w:rPr>
                <w:rFonts w:hint="eastAsia" w:ascii="宋体" w:hAnsi="宋体"/>
                <w:color w:val="auto"/>
                <w:highlight w:val="none"/>
              </w:rPr>
              <w:t>本款修改为：</w:t>
            </w:r>
          </w:p>
          <w:p w14:paraId="56782CFC">
            <w:pPr>
              <w:adjustRightInd w:val="0"/>
              <w:snapToGrid w:val="0"/>
              <w:spacing w:line="340" w:lineRule="exact"/>
              <w:ind w:firstLine="420" w:firstLineChars="200"/>
              <w:rPr>
                <w:rFonts w:ascii="宋体" w:hAnsi="宋体"/>
                <w:color w:val="auto"/>
                <w:highlight w:val="none"/>
              </w:rPr>
            </w:pPr>
            <w:r>
              <w:rPr>
                <w:rFonts w:hint="eastAsia" w:ascii="宋体" w:hAnsi="宋体"/>
                <w:color w:val="auto"/>
                <w:highlight w:val="none"/>
              </w:rPr>
              <w:t>在评标过程中，评标委员会应在“国家企业信用信息公示系统”及“信用中国”网站（http://www.creditchina.gov.cn/)对投标人的信用情况进行查询，若投标人未附相关资料或存在“国家企业信用信息公示系统”被列入严重违法失信名单（黑名单）信息（不含分公司）（</w:t>
            </w:r>
            <w:r>
              <w:rPr>
                <w:rFonts w:hint="eastAsia" w:ascii="宋体" w:hAnsi="宋体"/>
                <w:color w:val="auto"/>
                <w:highlight w:val="none"/>
                <w:lang w:eastAsia="zh-CN"/>
              </w:rPr>
              <w:t>仅适用于企业</w:t>
            </w:r>
            <w:r>
              <w:rPr>
                <w:rFonts w:hint="eastAsia" w:ascii="宋体" w:hAnsi="宋体"/>
                <w:color w:val="auto"/>
                <w:highlight w:val="none"/>
              </w:rPr>
              <w:t>）或在“信用中国”网站（http://www.creditchina.gov.cn/)中被列入失信被执行人、</w:t>
            </w:r>
            <w:r>
              <w:rPr>
                <w:rFonts w:hint="eastAsia" w:ascii="宋体" w:hAnsi="宋体"/>
                <w:color w:val="auto"/>
                <w:highlight w:val="none"/>
                <w:lang w:eastAsia="zh-CN"/>
              </w:rPr>
              <w:t>经营（活动）异常名录、安全生产严重失信主体、重大税收违法失信主体、</w:t>
            </w:r>
            <w:r>
              <w:rPr>
                <w:rFonts w:hint="eastAsia" w:ascii="宋体" w:hAnsi="宋体"/>
                <w:color w:val="auto"/>
                <w:highlight w:val="none"/>
              </w:rPr>
              <w:t>政府采购严重违法失信行为记录名单（均不含分公司）情形的，评标委员会应否决其投标。</w:t>
            </w:r>
          </w:p>
          <w:p w14:paraId="529F8EFC">
            <w:pPr>
              <w:adjustRightInd w:val="0"/>
              <w:snapToGrid w:val="0"/>
              <w:spacing w:line="340" w:lineRule="exact"/>
              <w:ind w:firstLine="420" w:firstLineChars="200"/>
              <w:rPr>
                <w:rFonts w:ascii="宋体" w:hAnsi="宋体" w:cs="宋体"/>
                <w:color w:val="auto"/>
                <w:kern w:val="28"/>
                <w:highlight w:val="none"/>
              </w:rPr>
            </w:pPr>
            <w:r>
              <w:rPr>
                <w:rFonts w:hint="eastAsia" w:ascii="宋体" w:hAnsi="宋体"/>
                <w:color w:val="auto"/>
                <w:highlight w:val="none"/>
              </w:rPr>
              <w:t>若投标文件载明的信息与上述网站发布的信息不符，使得投标人的资格条件不符合招标文件规定的，评标委员会应否决其投标。</w:t>
            </w:r>
          </w:p>
        </w:tc>
      </w:tr>
      <w:tr w14:paraId="3738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718" w:type="dxa"/>
            <w:gridSpan w:val="3"/>
            <w:tcBorders>
              <w:top w:val="single" w:color="auto" w:sz="4" w:space="0"/>
              <w:left w:val="single" w:color="auto" w:sz="4" w:space="0"/>
              <w:bottom w:val="single" w:color="auto" w:sz="4" w:space="0"/>
              <w:right w:val="single" w:color="auto" w:sz="4" w:space="0"/>
            </w:tcBorders>
            <w:vAlign w:val="center"/>
          </w:tcPr>
          <w:p w14:paraId="6C468B5F">
            <w:pPr>
              <w:adjustRightInd w:val="0"/>
              <w:snapToGrid w:val="0"/>
              <w:spacing w:line="340" w:lineRule="exact"/>
              <w:ind w:firstLine="420" w:firstLineChars="200"/>
              <w:rPr>
                <w:rFonts w:ascii="宋体" w:hAnsi="宋体" w:cs="宋体"/>
                <w:color w:val="auto"/>
                <w:highlight w:val="none"/>
              </w:rPr>
            </w:pPr>
            <w:r>
              <w:rPr>
                <w:rFonts w:hint="eastAsia" w:ascii="宋体" w:hAnsi="宋体"/>
                <w:color w:val="auto"/>
                <w:highlight w:val="none"/>
              </w:rPr>
              <w:t>需要补充的其他内容：无</w:t>
            </w:r>
          </w:p>
        </w:tc>
      </w:tr>
    </w:tbl>
    <w:p w14:paraId="7C2EF7EC">
      <w:pPr>
        <w:rPr>
          <w:color w:val="auto"/>
          <w:highlight w:val="none"/>
        </w:rPr>
      </w:pPr>
      <w:r>
        <w:rPr>
          <w:color w:val="auto"/>
          <w:highlight w:val="none"/>
        </w:rPr>
        <w:br w:type="page"/>
      </w:r>
    </w:p>
    <w:p w14:paraId="284BD214">
      <w:pPr>
        <w:rPr>
          <w:b/>
          <w:bCs/>
          <w:color w:val="auto"/>
          <w:highlight w:val="none"/>
        </w:rPr>
      </w:pPr>
      <w:r>
        <w:rPr>
          <w:rFonts w:hint="eastAsia"/>
          <w:b/>
          <w:bCs/>
          <w:color w:val="auto"/>
          <w:highlight w:val="none"/>
        </w:rPr>
        <w:t>具体评分标准如下：</w:t>
      </w:r>
    </w:p>
    <w:tbl>
      <w:tblPr>
        <w:tblStyle w:val="9"/>
        <w:tblW w:w="9209" w:type="dxa"/>
        <w:jc w:val="center"/>
        <w:tblLayout w:type="fixed"/>
        <w:tblCellMar>
          <w:top w:w="0" w:type="dxa"/>
          <w:left w:w="0" w:type="dxa"/>
          <w:bottom w:w="0" w:type="dxa"/>
          <w:right w:w="0" w:type="dxa"/>
        </w:tblCellMar>
      </w:tblPr>
      <w:tblGrid>
        <w:gridCol w:w="815"/>
        <w:gridCol w:w="1438"/>
        <w:gridCol w:w="1870"/>
        <w:gridCol w:w="5086"/>
      </w:tblGrid>
      <w:tr w14:paraId="45617EF8">
        <w:tblPrEx>
          <w:tblCellMar>
            <w:top w:w="0" w:type="dxa"/>
            <w:left w:w="0" w:type="dxa"/>
            <w:bottom w:w="0" w:type="dxa"/>
            <w:right w:w="0" w:type="dxa"/>
          </w:tblCellMar>
        </w:tblPrEx>
        <w:trPr>
          <w:jc w:val="center"/>
        </w:trPr>
        <w:tc>
          <w:tcPr>
            <w:tcW w:w="2253" w:type="dxa"/>
            <w:gridSpan w:val="2"/>
            <w:tcBorders>
              <w:top w:val="single" w:color="auto" w:sz="4" w:space="0"/>
              <w:left w:val="single" w:color="000000" w:sz="4" w:space="0"/>
              <w:bottom w:val="single" w:color="auto" w:sz="4" w:space="0"/>
              <w:right w:val="single" w:color="000000" w:sz="4" w:space="0"/>
            </w:tcBorders>
            <w:vAlign w:val="center"/>
          </w:tcPr>
          <w:p w14:paraId="58696F9C">
            <w:pPr>
              <w:autoSpaceDE w:val="0"/>
              <w:autoSpaceDN w:val="0"/>
              <w:adjustRightInd w:val="0"/>
              <w:snapToGrid w:val="0"/>
              <w:spacing w:after="100" w:afterAutospacing="1" w:line="340" w:lineRule="exact"/>
              <w:ind w:right="634" w:firstLine="316" w:firstLineChars="150"/>
              <w:jc w:val="center"/>
              <w:rPr>
                <w:rFonts w:ascii="宋体" w:cs="宋体"/>
                <w:b/>
                <w:color w:val="auto"/>
                <w:kern w:val="0"/>
                <w:highlight w:val="none"/>
              </w:rPr>
            </w:pPr>
            <w:r>
              <w:rPr>
                <w:rFonts w:hint="eastAsia" w:ascii="宋体" w:hAnsi="宋体" w:cs="宋体"/>
                <w:b/>
                <w:color w:val="auto"/>
                <w:kern w:val="0"/>
                <w:highlight w:val="none"/>
              </w:rPr>
              <w:t>条款号</w:t>
            </w:r>
          </w:p>
        </w:tc>
        <w:tc>
          <w:tcPr>
            <w:tcW w:w="1870" w:type="dxa"/>
            <w:tcBorders>
              <w:top w:val="single" w:color="000000" w:sz="4" w:space="0"/>
              <w:left w:val="single" w:color="000000" w:sz="4" w:space="0"/>
              <w:bottom w:val="single" w:color="000000" w:sz="4" w:space="0"/>
              <w:right w:val="single" w:color="000000" w:sz="4" w:space="0"/>
            </w:tcBorders>
            <w:vAlign w:val="center"/>
          </w:tcPr>
          <w:p w14:paraId="11C966B9">
            <w:pPr>
              <w:autoSpaceDE w:val="0"/>
              <w:autoSpaceDN w:val="0"/>
              <w:adjustRightInd w:val="0"/>
              <w:snapToGrid w:val="0"/>
              <w:spacing w:after="100" w:afterAutospacing="1" w:line="340" w:lineRule="exact"/>
              <w:ind w:left="283" w:right="-20"/>
              <w:jc w:val="center"/>
              <w:rPr>
                <w:rFonts w:ascii="宋体" w:cs="宋体"/>
                <w:b/>
                <w:color w:val="auto"/>
                <w:kern w:val="0"/>
                <w:highlight w:val="none"/>
              </w:rPr>
            </w:pPr>
            <w:r>
              <w:rPr>
                <w:rFonts w:hint="eastAsia" w:ascii="宋体" w:hAnsi="宋体" w:cs="宋体"/>
                <w:b/>
                <w:color w:val="auto"/>
                <w:kern w:val="0"/>
                <w:highlight w:val="none"/>
              </w:rPr>
              <w:t>评分因素</w:t>
            </w:r>
          </w:p>
        </w:tc>
        <w:tc>
          <w:tcPr>
            <w:tcW w:w="5086" w:type="dxa"/>
            <w:tcBorders>
              <w:top w:val="single" w:color="000000" w:sz="4" w:space="0"/>
              <w:left w:val="single" w:color="000000" w:sz="4" w:space="0"/>
              <w:bottom w:val="single" w:color="000000" w:sz="4" w:space="0"/>
              <w:right w:val="single" w:color="000000" w:sz="4" w:space="0"/>
            </w:tcBorders>
            <w:vAlign w:val="center"/>
          </w:tcPr>
          <w:p w14:paraId="7FB33D00">
            <w:pPr>
              <w:autoSpaceDE w:val="0"/>
              <w:autoSpaceDN w:val="0"/>
              <w:adjustRightInd w:val="0"/>
              <w:snapToGrid w:val="0"/>
              <w:spacing w:after="100" w:afterAutospacing="1" w:line="340" w:lineRule="exact"/>
              <w:ind w:right="1857"/>
              <w:jc w:val="center"/>
              <w:rPr>
                <w:rFonts w:ascii="宋体" w:cs="宋体"/>
                <w:b/>
                <w:color w:val="auto"/>
                <w:kern w:val="0"/>
                <w:highlight w:val="none"/>
              </w:rPr>
            </w:pPr>
            <w:r>
              <w:rPr>
                <w:rFonts w:hint="eastAsia" w:ascii="宋体" w:hAnsi="宋体" w:cs="宋体"/>
                <w:b/>
                <w:color w:val="auto"/>
                <w:kern w:val="0"/>
                <w:highlight w:val="none"/>
              </w:rPr>
              <w:t>评分标准</w:t>
            </w:r>
          </w:p>
        </w:tc>
      </w:tr>
      <w:tr w14:paraId="1E303026">
        <w:tblPrEx>
          <w:tblCellMar>
            <w:top w:w="0" w:type="dxa"/>
            <w:left w:w="0" w:type="dxa"/>
            <w:bottom w:w="0" w:type="dxa"/>
            <w:right w:w="0" w:type="dxa"/>
          </w:tblCellMar>
        </w:tblPrEx>
        <w:trPr>
          <w:jc w:val="center"/>
        </w:trPr>
        <w:tc>
          <w:tcPr>
            <w:tcW w:w="815" w:type="dxa"/>
            <w:tcBorders>
              <w:top w:val="single" w:color="auto" w:sz="4" w:space="0"/>
              <w:left w:val="single" w:color="000000" w:sz="4" w:space="0"/>
              <w:right w:val="single" w:color="auto" w:sz="4" w:space="0"/>
            </w:tcBorders>
            <w:vAlign w:val="center"/>
          </w:tcPr>
          <w:p w14:paraId="299D80B1">
            <w:pPr>
              <w:autoSpaceDE w:val="0"/>
              <w:autoSpaceDN w:val="0"/>
              <w:adjustRightInd w:val="0"/>
              <w:snapToGrid w:val="0"/>
              <w:spacing w:line="340" w:lineRule="exact"/>
              <w:ind w:right="-23"/>
              <w:jc w:val="center"/>
              <w:rPr>
                <w:rFonts w:ascii="宋体" w:cs="宋体"/>
                <w:color w:val="auto"/>
                <w:kern w:val="0"/>
                <w:highlight w:val="none"/>
              </w:rPr>
            </w:pPr>
            <w:r>
              <w:rPr>
                <w:rFonts w:ascii="宋体" w:hAnsi="宋体" w:cs="宋体"/>
                <w:color w:val="auto"/>
                <w:kern w:val="0"/>
                <w:highlight w:val="none"/>
              </w:rPr>
              <w:t>2.2.4</w:t>
            </w:r>
          </w:p>
          <w:p w14:paraId="138EBD03">
            <w:pPr>
              <w:autoSpaceDE w:val="0"/>
              <w:autoSpaceDN w:val="0"/>
              <w:adjustRightInd w:val="0"/>
              <w:snapToGrid w:val="0"/>
              <w:spacing w:line="340" w:lineRule="exact"/>
              <w:ind w:right="-23"/>
              <w:jc w:val="center"/>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w:t>
            </w:r>
          </w:p>
        </w:tc>
        <w:tc>
          <w:tcPr>
            <w:tcW w:w="1438" w:type="dxa"/>
            <w:tcBorders>
              <w:top w:val="single" w:color="auto" w:sz="4" w:space="0"/>
              <w:left w:val="single" w:color="auto" w:sz="4" w:space="0"/>
              <w:right w:val="single" w:color="000000" w:sz="4" w:space="0"/>
            </w:tcBorders>
            <w:vAlign w:val="center"/>
          </w:tcPr>
          <w:p w14:paraId="7E504DF1">
            <w:pPr>
              <w:autoSpaceDE w:val="0"/>
              <w:autoSpaceDN w:val="0"/>
              <w:adjustRightInd w:val="0"/>
              <w:snapToGrid w:val="0"/>
              <w:spacing w:line="340" w:lineRule="exact"/>
              <w:ind w:right="60"/>
              <w:jc w:val="center"/>
              <w:rPr>
                <w:rFonts w:ascii="宋体" w:cs="宋体"/>
                <w:color w:val="auto"/>
                <w:kern w:val="0"/>
                <w:highlight w:val="none"/>
              </w:rPr>
            </w:pPr>
            <w:r>
              <w:rPr>
                <w:rFonts w:hint="eastAsia" w:ascii="宋体" w:hAnsi="宋体" w:cs="宋体"/>
                <w:color w:val="auto"/>
                <w:highlight w:val="none"/>
              </w:rPr>
              <w:t>类似项目业绩（</w:t>
            </w:r>
            <w:r>
              <w:rPr>
                <w:rFonts w:hint="eastAsia" w:ascii="宋体" w:hAnsi="宋体" w:cs="宋体"/>
                <w:color w:val="auto"/>
                <w:highlight w:val="none"/>
                <w:lang w:val="en-US" w:eastAsia="zh-CN"/>
              </w:rPr>
              <w:t>2</w:t>
            </w:r>
            <w:r>
              <w:rPr>
                <w:rFonts w:hint="eastAsia" w:ascii="宋体" w:hAnsi="宋体" w:cs="宋体"/>
                <w:color w:val="auto"/>
                <w:highlight w:val="none"/>
              </w:rPr>
              <w:t>0分）</w:t>
            </w:r>
          </w:p>
        </w:tc>
        <w:tc>
          <w:tcPr>
            <w:tcW w:w="1870" w:type="dxa"/>
            <w:tcBorders>
              <w:top w:val="single" w:color="000000" w:sz="4" w:space="0"/>
              <w:left w:val="single" w:color="000000" w:sz="4" w:space="0"/>
              <w:bottom w:val="single" w:color="auto" w:sz="4" w:space="0"/>
              <w:right w:val="single" w:color="000000" w:sz="4" w:space="0"/>
            </w:tcBorders>
            <w:vAlign w:val="center"/>
          </w:tcPr>
          <w:p w14:paraId="2B6E3F59">
            <w:pPr>
              <w:autoSpaceDE w:val="0"/>
              <w:autoSpaceDN w:val="0"/>
              <w:adjustRightInd w:val="0"/>
              <w:snapToGrid w:val="0"/>
              <w:spacing w:line="340" w:lineRule="exact"/>
              <w:jc w:val="center"/>
              <w:rPr>
                <w:rFonts w:ascii="宋体" w:hAnsi="宋体" w:cs="宋体"/>
                <w:color w:val="auto"/>
                <w:highlight w:val="none"/>
              </w:rPr>
            </w:pPr>
            <w:r>
              <w:rPr>
                <w:rFonts w:hint="eastAsia" w:ascii="宋体" w:hAnsi="宋体" w:cs="宋体"/>
                <w:color w:val="auto"/>
                <w:highlight w:val="none"/>
              </w:rPr>
              <w:t>类似项目业绩</w:t>
            </w:r>
          </w:p>
          <w:p w14:paraId="391E94FE">
            <w:pPr>
              <w:autoSpaceDE w:val="0"/>
              <w:autoSpaceDN w:val="0"/>
              <w:adjustRightInd w:val="0"/>
              <w:snapToGrid w:val="0"/>
              <w:spacing w:line="340" w:lineRule="exact"/>
              <w:jc w:val="center"/>
              <w:rPr>
                <w:rFonts w:ascii="宋体" w:cs="宋体"/>
                <w:color w:val="auto"/>
                <w:kern w:val="0"/>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0分）</w:t>
            </w:r>
          </w:p>
        </w:tc>
        <w:tc>
          <w:tcPr>
            <w:tcW w:w="5086" w:type="dxa"/>
            <w:tcBorders>
              <w:top w:val="single" w:color="000000" w:sz="4" w:space="0"/>
              <w:left w:val="single" w:color="000000" w:sz="4" w:space="0"/>
              <w:bottom w:val="single" w:color="auto" w:sz="4" w:space="0"/>
              <w:right w:val="single" w:color="000000" w:sz="4" w:space="0"/>
            </w:tcBorders>
            <w:vAlign w:val="center"/>
          </w:tcPr>
          <w:p w14:paraId="5683F715">
            <w:pPr>
              <w:autoSpaceDE w:val="0"/>
              <w:autoSpaceDN w:val="0"/>
              <w:adjustRightInd w:val="0"/>
              <w:snapToGrid w:val="0"/>
              <w:spacing w:line="340" w:lineRule="exact"/>
              <w:jc w:val="left"/>
              <w:rPr>
                <w:rFonts w:ascii="宋体" w:cs="宋体"/>
                <w:color w:val="auto"/>
                <w:highlight w:val="none"/>
              </w:rPr>
            </w:pPr>
            <w:r>
              <w:rPr>
                <w:rFonts w:hint="eastAsia" w:ascii="宋体" w:hAnsi="宋体" w:cs="宋体"/>
                <w:color w:val="auto"/>
                <w:highlight w:val="none"/>
              </w:rPr>
              <w:t>投标人满足投标人资格要求业绩要求得12分，每增加1项满足投标人资格要求业绩要求的业绩加2分，最多加8分。</w:t>
            </w:r>
          </w:p>
        </w:tc>
      </w:tr>
      <w:tr w14:paraId="45773EE6">
        <w:tblPrEx>
          <w:tblCellMar>
            <w:top w:w="0" w:type="dxa"/>
            <w:left w:w="0" w:type="dxa"/>
            <w:bottom w:w="0" w:type="dxa"/>
            <w:right w:w="0" w:type="dxa"/>
          </w:tblCellMar>
        </w:tblPrEx>
        <w:trPr>
          <w:trHeight w:val="1086" w:hRule="atLeast"/>
          <w:jc w:val="center"/>
        </w:trPr>
        <w:tc>
          <w:tcPr>
            <w:tcW w:w="815" w:type="dxa"/>
            <w:vMerge w:val="restart"/>
            <w:tcBorders>
              <w:top w:val="single" w:color="auto" w:sz="4" w:space="0"/>
              <w:left w:val="single" w:color="000000" w:sz="4" w:space="0"/>
              <w:right w:val="single" w:color="auto" w:sz="4" w:space="0"/>
            </w:tcBorders>
            <w:vAlign w:val="center"/>
          </w:tcPr>
          <w:p w14:paraId="4F52B605">
            <w:pPr>
              <w:autoSpaceDE w:val="0"/>
              <w:autoSpaceDN w:val="0"/>
              <w:adjustRightInd w:val="0"/>
              <w:snapToGrid w:val="0"/>
              <w:spacing w:line="340" w:lineRule="exact"/>
              <w:ind w:right="-23"/>
              <w:jc w:val="center"/>
              <w:rPr>
                <w:rFonts w:ascii="宋体" w:cs="宋体"/>
                <w:color w:val="auto"/>
                <w:kern w:val="0"/>
                <w:highlight w:val="none"/>
              </w:rPr>
            </w:pPr>
            <w:r>
              <w:rPr>
                <w:rFonts w:ascii="宋体" w:hAnsi="宋体" w:cs="宋体"/>
                <w:color w:val="auto"/>
                <w:kern w:val="0"/>
                <w:highlight w:val="none"/>
              </w:rPr>
              <w:t>2.2.4</w:t>
            </w:r>
          </w:p>
          <w:p w14:paraId="2F43FDFC">
            <w:pPr>
              <w:autoSpaceDE w:val="0"/>
              <w:autoSpaceDN w:val="0"/>
              <w:adjustRightInd w:val="0"/>
              <w:snapToGrid w:val="0"/>
              <w:spacing w:line="340" w:lineRule="exact"/>
              <w:ind w:right="-23"/>
              <w:jc w:val="center"/>
              <w:rPr>
                <w:rFonts w:ascii="宋体" w:hAnsi="宋体" w:cs="宋体"/>
                <w:color w:val="auto"/>
                <w:kern w:val="0"/>
                <w:highlight w:val="none"/>
              </w:rPr>
            </w:pPr>
            <w:r>
              <w:rPr>
                <w:rFonts w:hint="eastAsia" w:ascii="宋体" w:hAnsi="宋体" w:cs="宋体"/>
                <w:color w:val="auto"/>
                <w:kern w:val="0"/>
                <w:highlight w:val="none"/>
              </w:rPr>
              <w:t>（2）</w:t>
            </w:r>
          </w:p>
        </w:tc>
        <w:tc>
          <w:tcPr>
            <w:tcW w:w="1438" w:type="dxa"/>
            <w:vMerge w:val="restart"/>
            <w:tcBorders>
              <w:top w:val="single" w:color="auto" w:sz="4" w:space="0"/>
              <w:left w:val="single" w:color="auto" w:sz="4" w:space="0"/>
              <w:right w:val="single" w:color="000000" w:sz="4" w:space="0"/>
            </w:tcBorders>
            <w:vAlign w:val="center"/>
          </w:tcPr>
          <w:p w14:paraId="79343D57">
            <w:pPr>
              <w:autoSpaceDE w:val="0"/>
              <w:autoSpaceDN w:val="0"/>
              <w:adjustRightInd w:val="0"/>
              <w:snapToGrid w:val="0"/>
              <w:spacing w:line="340" w:lineRule="exact"/>
              <w:ind w:right="60"/>
              <w:jc w:val="center"/>
              <w:rPr>
                <w:rFonts w:ascii="宋体" w:hAnsi="宋体" w:cs="宋体"/>
                <w:color w:val="auto"/>
                <w:highlight w:val="none"/>
              </w:rPr>
            </w:pPr>
            <w:r>
              <w:rPr>
                <w:rFonts w:hint="eastAsia" w:ascii="宋体" w:hAnsi="宋体" w:cs="宋体"/>
                <w:color w:val="auto"/>
                <w:highlight w:val="none"/>
              </w:rPr>
              <w:t>服务方案（</w:t>
            </w:r>
            <w:r>
              <w:rPr>
                <w:rFonts w:hint="eastAsia" w:ascii="宋体" w:hAnsi="宋体" w:cs="宋体"/>
                <w:color w:val="auto"/>
                <w:highlight w:val="none"/>
                <w:lang w:val="en-US" w:eastAsia="zh-CN"/>
              </w:rPr>
              <w:t>5</w:t>
            </w:r>
            <w:r>
              <w:rPr>
                <w:rFonts w:hint="eastAsia" w:ascii="宋体" w:hAnsi="宋体" w:cs="宋体"/>
                <w:color w:val="auto"/>
                <w:highlight w:val="none"/>
              </w:rPr>
              <w:t>0分）</w:t>
            </w:r>
          </w:p>
        </w:tc>
        <w:tc>
          <w:tcPr>
            <w:tcW w:w="1870" w:type="dxa"/>
            <w:tcBorders>
              <w:top w:val="single" w:color="000000" w:sz="4" w:space="0"/>
              <w:left w:val="single" w:color="000000" w:sz="4" w:space="0"/>
              <w:bottom w:val="single" w:color="auto" w:sz="4" w:space="0"/>
              <w:right w:val="single" w:color="000000" w:sz="4" w:space="0"/>
            </w:tcBorders>
            <w:vAlign w:val="center"/>
          </w:tcPr>
          <w:p w14:paraId="11CB7298">
            <w:pPr>
              <w:widowControl/>
              <w:jc w:val="center"/>
              <w:textAlignment w:val="center"/>
              <w:rPr>
                <w:rFonts w:hint="eastAsia" w:ascii="宋体" w:hAnsi="宋体" w:cs="宋体"/>
                <w:color w:val="auto"/>
                <w:highlight w:val="none"/>
              </w:rPr>
            </w:pPr>
            <w:r>
              <w:rPr>
                <w:rFonts w:hint="eastAsia" w:ascii="宋体" w:hAnsi="宋体" w:cs="宋体"/>
                <w:color w:val="auto"/>
                <w:highlight w:val="none"/>
              </w:rPr>
              <w:t>整体服务方案</w:t>
            </w:r>
          </w:p>
          <w:p w14:paraId="50D0E9CC">
            <w:pPr>
              <w:widowControl/>
              <w:jc w:val="center"/>
              <w:textAlignment w:val="cente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分）</w:t>
            </w:r>
          </w:p>
        </w:tc>
        <w:tc>
          <w:tcPr>
            <w:tcW w:w="5086" w:type="dxa"/>
            <w:tcBorders>
              <w:top w:val="single" w:color="000000" w:sz="4" w:space="0"/>
              <w:left w:val="single" w:color="000000" w:sz="4" w:space="0"/>
              <w:bottom w:val="single" w:color="auto" w:sz="4" w:space="0"/>
              <w:right w:val="single" w:color="000000" w:sz="4" w:space="0"/>
            </w:tcBorders>
            <w:vAlign w:val="center"/>
          </w:tcPr>
          <w:p w14:paraId="65191EAC">
            <w:pPr>
              <w:tabs>
                <w:tab w:val="left" w:pos="1914"/>
              </w:tabs>
              <w:spacing w:before="38"/>
              <w:ind w:right="-23"/>
              <w:jc w:val="left"/>
              <w:rPr>
                <w:rFonts w:ascii="宋体" w:hAnsi="宋体" w:cs="宋体"/>
                <w:color w:val="auto"/>
                <w:highlight w:val="none"/>
              </w:rPr>
            </w:pPr>
            <w:r>
              <w:rPr>
                <w:rFonts w:hint="eastAsia" w:ascii="宋体" w:hAnsi="宋体" w:cs="宋体"/>
                <w:color w:val="auto"/>
                <w:highlight w:val="none"/>
              </w:rPr>
              <w:t>服务方案、体检流程合理、措施保障有力，能提供优质体检服务的得</w:t>
            </w:r>
            <w:r>
              <w:rPr>
                <w:rFonts w:hint="eastAsia" w:ascii="宋体" w:hAnsi="宋体" w:cs="宋体"/>
                <w:color w:val="auto"/>
                <w:highlight w:val="none"/>
                <w:lang w:val="en-US" w:eastAsia="zh-CN"/>
              </w:rPr>
              <w:t>20.1</w:t>
            </w: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.0分；</w:t>
            </w:r>
          </w:p>
          <w:p w14:paraId="0DB6C02F">
            <w:pPr>
              <w:tabs>
                <w:tab w:val="left" w:pos="1914"/>
              </w:tabs>
              <w:spacing w:before="38"/>
              <w:ind w:right="-23"/>
              <w:jc w:val="left"/>
              <w:rPr>
                <w:rFonts w:ascii="宋体" w:hAnsi="宋体" w:cs="宋体"/>
                <w:color w:val="auto"/>
                <w:highlight w:val="none"/>
              </w:rPr>
            </w:pPr>
            <w:r>
              <w:rPr>
                <w:rFonts w:hint="eastAsia" w:ascii="宋体" w:hAnsi="宋体" w:cs="宋体"/>
                <w:color w:val="auto"/>
                <w:highlight w:val="none"/>
              </w:rPr>
              <w:t xml:space="preserve">服务方案、体检流程较合理、措施保障较有力，能提供较好的体检服务的得 </w:t>
            </w:r>
            <w:r>
              <w:rPr>
                <w:rFonts w:hint="eastAsia" w:ascii="宋体" w:hAnsi="宋体" w:cs="宋体"/>
                <w:color w:val="auto"/>
                <w:highlight w:val="none"/>
                <w:lang w:val="en-US" w:eastAsia="zh-CN"/>
              </w:rPr>
              <w:t>15.1</w:t>
            </w:r>
            <w:r>
              <w:rPr>
                <w:rFonts w:hint="eastAsia" w:ascii="宋体" w:hAnsi="宋体" w:cs="宋体"/>
                <w:color w:val="auto"/>
                <w:highlight w:val="none"/>
              </w:rPr>
              <w:t>-</w:t>
            </w:r>
            <w:r>
              <w:rPr>
                <w:rFonts w:hint="eastAsia" w:ascii="宋体" w:hAnsi="宋体" w:cs="宋体"/>
                <w:color w:val="auto"/>
                <w:highlight w:val="none"/>
                <w:lang w:val="en-US" w:eastAsia="zh-CN"/>
              </w:rPr>
              <w:t>20.0</w:t>
            </w:r>
            <w:r>
              <w:rPr>
                <w:rFonts w:hint="eastAsia" w:ascii="宋体" w:hAnsi="宋体" w:cs="宋体"/>
                <w:color w:val="auto"/>
                <w:highlight w:val="none"/>
              </w:rPr>
              <w:t>分；</w:t>
            </w:r>
          </w:p>
          <w:p w14:paraId="13049E0A">
            <w:pPr>
              <w:tabs>
                <w:tab w:val="left" w:pos="1914"/>
              </w:tabs>
              <w:spacing w:before="38"/>
              <w:ind w:right="-23"/>
              <w:jc w:val="left"/>
              <w:rPr>
                <w:color w:val="auto"/>
                <w:highlight w:val="none"/>
              </w:rPr>
            </w:pPr>
            <w:r>
              <w:rPr>
                <w:rFonts w:hint="eastAsia" w:ascii="宋体" w:hAnsi="宋体" w:cs="宋体"/>
                <w:color w:val="auto"/>
                <w:highlight w:val="none"/>
              </w:rPr>
              <w:t xml:space="preserve">服务方案、体检流程较合理、措施保障较有力，能提供一般的体检服务的得 </w:t>
            </w:r>
            <w:r>
              <w:rPr>
                <w:rFonts w:hint="eastAsia" w:ascii="宋体" w:hAnsi="宋体" w:cs="宋体"/>
                <w:color w:val="auto"/>
                <w:highlight w:val="none"/>
                <w:lang w:val="en-US" w:eastAsia="zh-CN"/>
              </w:rPr>
              <w:t>15.0</w:t>
            </w:r>
            <w:r>
              <w:rPr>
                <w:rFonts w:hint="eastAsia" w:ascii="宋体" w:hAnsi="宋体" w:cs="宋体"/>
                <w:color w:val="auto"/>
                <w:highlight w:val="none"/>
              </w:rPr>
              <w:t>分。</w:t>
            </w:r>
          </w:p>
        </w:tc>
      </w:tr>
      <w:tr w14:paraId="4870996C">
        <w:tblPrEx>
          <w:tblCellMar>
            <w:top w:w="0" w:type="dxa"/>
            <w:left w:w="0" w:type="dxa"/>
            <w:bottom w:w="0" w:type="dxa"/>
            <w:right w:w="0" w:type="dxa"/>
          </w:tblCellMar>
        </w:tblPrEx>
        <w:trPr>
          <w:trHeight w:val="2166" w:hRule="atLeast"/>
          <w:jc w:val="center"/>
        </w:trPr>
        <w:tc>
          <w:tcPr>
            <w:tcW w:w="815" w:type="dxa"/>
            <w:vMerge w:val="continue"/>
            <w:tcBorders>
              <w:left w:val="single" w:color="000000" w:sz="4" w:space="0"/>
              <w:right w:val="single" w:color="auto" w:sz="4" w:space="0"/>
            </w:tcBorders>
            <w:vAlign w:val="center"/>
          </w:tcPr>
          <w:p w14:paraId="33C0119E">
            <w:pPr>
              <w:autoSpaceDE w:val="0"/>
              <w:autoSpaceDN w:val="0"/>
              <w:adjustRightInd w:val="0"/>
              <w:snapToGrid w:val="0"/>
              <w:spacing w:line="340" w:lineRule="exact"/>
              <w:ind w:right="-23"/>
              <w:jc w:val="center"/>
              <w:rPr>
                <w:rFonts w:ascii="宋体" w:hAnsi="宋体" w:cs="宋体"/>
                <w:color w:val="auto"/>
                <w:kern w:val="0"/>
                <w:highlight w:val="none"/>
              </w:rPr>
            </w:pPr>
          </w:p>
        </w:tc>
        <w:tc>
          <w:tcPr>
            <w:tcW w:w="1438" w:type="dxa"/>
            <w:vMerge w:val="continue"/>
            <w:tcBorders>
              <w:left w:val="single" w:color="auto" w:sz="4" w:space="0"/>
              <w:right w:val="single" w:color="000000" w:sz="4" w:space="0"/>
            </w:tcBorders>
            <w:vAlign w:val="center"/>
          </w:tcPr>
          <w:p w14:paraId="2B6937FF">
            <w:pPr>
              <w:autoSpaceDE w:val="0"/>
              <w:autoSpaceDN w:val="0"/>
              <w:adjustRightInd w:val="0"/>
              <w:snapToGrid w:val="0"/>
              <w:spacing w:line="340" w:lineRule="exact"/>
              <w:ind w:right="60"/>
              <w:jc w:val="center"/>
              <w:rPr>
                <w:rFonts w:ascii="宋体" w:hAnsi="宋体" w:cs="宋体"/>
                <w:color w:val="auto"/>
                <w:highlight w:val="none"/>
              </w:rPr>
            </w:pPr>
          </w:p>
        </w:tc>
        <w:tc>
          <w:tcPr>
            <w:tcW w:w="1870" w:type="dxa"/>
            <w:tcBorders>
              <w:top w:val="single" w:color="000000" w:sz="4" w:space="0"/>
              <w:left w:val="single" w:color="000000" w:sz="4" w:space="0"/>
              <w:bottom w:val="single" w:color="auto" w:sz="4" w:space="0"/>
              <w:right w:val="single" w:color="000000" w:sz="4" w:space="0"/>
            </w:tcBorders>
            <w:vAlign w:val="center"/>
          </w:tcPr>
          <w:p w14:paraId="71ACB254">
            <w:pPr>
              <w:widowControl/>
              <w:jc w:val="center"/>
              <w:textAlignment w:val="center"/>
              <w:rPr>
                <w:rFonts w:hint="eastAsia" w:ascii="宋体" w:hAnsi="宋体" w:cs="宋体"/>
                <w:color w:val="auto"/>
                <w:highlight w:val="none"/>
              </w:rPr>
            </w:pPr>
            <w:r>
              <w:rPr>
                <w:rFonts w:hint="eastAsia" w:ascii="宋体" w:hAnsi="宋体" w:cs="宋体"/>
                <w:color w:val="auto"/>
                <w:highlight w:val="none"/>
              </w:rPr>
              <w:t>技术人员</w:t>
            </w:r>
          </w:p>
          <w:p w14:paraId="7A8EF73A">
            <w:pPr>
              <w:widowControl/>
              <w:jc w:val="center"/>
              <w:textAlignment w:val="center"/>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US" w:eastAsia="zh-CN"/>
              </w:rPr>
              <w:t>15</w:t>
            </w:r>
            <w:r>
              <w:rPr>
                <w:rFonts w:hint="eastAsia" w:cs="宋体"/>
                <w:color w:val="auto"/>
                <w:sz w:val="21"/>
                <w:szCs w:val="21"/>
                <w:highlight w:val="none"/>
              </w:rPr>
              <w:t>分）</w:t>
            </w:r>
          </w:p>
        </w:tc>
        <w:tc>
          <w:tcPr>
            <w:tcW w:w="5086" w:type="dxa"/>
            <w:tcBorders>
              <w:top w:val="single" w:color="000000" w:sz="4" w:space="0"/>
              <w:left w:val="single" w:color="000000" w:sz="4" w:space="0"/>
              <w:bottom w:val="single" w:color="auto" w:sz="4" w:space="0"/>
              <w:right w:val="single" w:color="000000" w:sz="4" w:space="0"/>
            </w:tcBorders>
            <w:vAlign w:val="center"/>
          </w:tcPr>
          <w:p w14:paraId="25A87B12">
            <w:pPr>
              <w:pStyle w:val="16"/>
              <w:snapToGrid w:val="0"/>
              <w:spacing w:line="400" w:lineRule="exact"/>
              <w:jc w:val="left"/>
              <w:rPr>
                <w:rFonts w:hint="eastAsia" w:ascii="宋体" w:eastAsia="宋体" w:cs="宋体"/>
                <w:b w:val="0"/>
                <w:color w:val="auto"/>
                <w:sz w:val="21"/>
                <w:szCs w:val="21"/>
                <w:highlight w:val="none"/>
                <w:lang w:eastAsia="zh-CN"/>
              </w:rPr>
            </w:pPr>
            <w:r>
              <w:rPr>
                <w:rFonts w:hint="eastAsia" w:ascii="宋体" w:eastAsia="宋体" w:cs="宋体"/>
                <w:b w:val="0"/>
                <w:color w:val="auto"/>
                <w:sz w:val="21"/>
                <w:szCs w:val="21"/>
                <w:highlight w:val="none"/>
              </w:rPr>
              <w:t>投标人须配备相关专业技术职务资格的执业医师，每有1名外科、内科、超声科、医学影像科、医学检验科及妇产科中级及以上专业技术职务任职资格的执业医师加</w:t>
            </w:r>
            <w:r>
              <w:rPr>
                <w:rFonts w:hint="eastAsia" w:ascii="宋体" w:eastAsia="宋体" w:cs="宋体"/>
                <w:b w:val="0"/>
                <w:color w:val="auto"/>
                <w:sz w:val="21"/>
                <w:szCs w:val="21"/>
                <w:highlight w:val="none"/>
                <w:lang w:val="en-US" w:eastAsia="zh-CN"/>
              </w:rPr>
              <w:t>2.5</w:t>
            </w:r>
            <w:r>
              <w:rPr>
                <w:rFonts w:hint="eastAsia" w:ascii="宋体" w:eastAsia="宋体" w:cs="宋体"/>
                <w:b w:val="0"/>
                <w:color w:val="auto"/>
                <w:sz w:val="21"/>
                <w:szCs w:val="21"/>
                <w:highlight w:val="none"/>
              </w:rPr>
              <w:t>分，</w:t>
            </w:r>
            <w:r>
              <w:rPr>
                <w:rFonts w:hint="eastAsia" w:ascii="宋体" w:eastAsia="宋体" w:cs="宋体"/>
                <w:b w:val="0"/>
                <w:color w:val="auto"/>
                <w:sz w:val="21"/>
                <w:szCs w:val="21"/>
                <w:highlight w:val="none"/>
                <w:lang w:val="en-US" w:eastAsia="zh-CN"/>
              </w:rPr>
              <w:t>每科最多加2.5分，本项最多加15分</w:t>
            </w:r>
            <w:r>
              <w:rPr>
                <w:rFonts w:hint="eastAsia" w:ascii="宋体" w:eastAsia="宋体" w:cs="宋体"/>
                <w:b w:val="0"/>
                <w:color w:val="auto"/>
                <w:sz w:val="21"/>
                <w:szCs w:val="21"/>
                <w:highlight w:val="none"/>
                <w:lang w:eastAsia="zh-CN"/>
              </w:rPr>
              <w:t>。</w:t>
            </w:r>
          </w:p>
          <w:p w14:paraId="4C62DADF">
            <w:pPr>
              <w:pStyle w:val="16"/>
              <w:snapToGrid w:val="0"/>
              <w:spacing w:line="400" w:lineRule="exact"/>
              <w:jc w:val="left"/>
              <w:rPr>
                <w:rFonts w:ascii="宋体" w:eastAsia="宋体" w:cs="宋体"/>
                <w:b w:val="0"/>
                <w:color w:val="auto"/>
                <w:sz w:val="21"/>
                <w:szCs w:val="21"/>
                <w:highlight w:val="none"/>
              </w:rPr>
            </w:pPr>
            <w:r>
              <w:rPr>
                <w:rFonts w:hint="eastAsia" w:ascii="宋体" w:eastAsia="宋体" w:cs="宋体"/>
                <w:b w:val="0"/>
                <w:color w:val="auto"/>
                <w:sz w:val="21"/>
                <w:szCs w:val="21"/>
                <w:highlight w:val="none"/>
              </w:rPr>
              <w:t>投标文件中须提供相关人员的职称资格证书（或执业资格证书）的复印件，否则不予计分。</w:t>
            </w:r>
          </w:p>
        </w:tc>
      </w:tr>
      <w:tr w14:paraId="1B2F5E06">
        <w:tblPrEx>
          <w:tblCellMar>
            <w:top w:w="0" w:type="dxa"/>
            <w:left w:w="0" w:type="dxa"/>
            <w:bottom w:w="0" w:type="dxa"/>
            <w:right w:w="0" w:type="dxa"/>
          </w:tblCellMar>
        </w:tblPrEx>
        <w:trPr>
          <w:trHeight w:val="2172" w:hRule="atLeast"/>
          <w:jc w:val="center"/>
        </w:trPr>
        <w:tc>
          <w:tcPr>
            <w:tcW w:w="815" w:type="dxa"/>
            <w:vMerge w:val="continue"/>
            <w:tcBorders>
              <w:left w:val="single" w:color="000000" w:sz="4" w:space="0"/>
              <w:right w:val="single" w:color="auto" w:sz="4" w:space="0"/>
            </w:tcBorders>
            <w:vAlign w:val="center"/>
          </w:tcPr>
          <w:p w14:paraId="74827305">
            <w:pPr>
              <w:autoSpaceDE w:val="0"/>
              <w:autoSpaceDN w:val="0"/>
              <w:adjustRightInd w:val="0"/>
              <w:snapToGrid w:val="0"/>
              <w:spacing w:after="100" w:afterAutospacing="1" w:line="340" w:lineRule="exact"/>
              <w:ind w:left="234" w:right="-20"/>
              <w:jc w:val="center"/>
              <w:rPr>
                <w:rFonts w:ascii="宋体" w:cs="宋体"/>
                <w:color w:val="auto"/>
                <w:kern w:val="0"/>
                <w:highlight w:val="none"/>
              </w:rPr>
            </w:pPr>
          </w:p>
        </w:tc>
        <w:tc>
          <w:tcPr>
            <w:tcW w:w="1438" w:type="dxa"/>
            <w:vMerge w:val="continue"/>
            <w:tcBorders>
              <w:left w:val="single" w:color="auto" w:sz="4" w:space="0"/>
              <w:right w:val="single" w:color="000000" w:sz="4" w:space="0"/>
            </w:tcBorders>
            <w:vAlign w:val="center"/>
          </w:tcPr>
          <w:p w14:paraId="6589D595">
            <w:pPr>
              <w:autoSpaceDE w:val="0"/>
              <w:autoSpaceDN w:val="0"/>
              <w:adjustRightInd w:val="0"/>
              <w:snapToGrid w:val="0"/>
              <w:spacing w:line="340" w:lineRule="exact"/>
              <w:ind w:left="345" w:right="60" w:hanging="209"/>
              <w:jc w:val="center"/>
              <w:rPr>
                <w:rFonts w:ascii="宋体" w:cs="宋体"/>
                <w:color w:val="auto"/>
                <w:kern w:val="0"/>
                <w:highlight w:val="none"/>
              </w:rPr>
            </w:pPr>
          </w:p>
        </w:tc>
        <w:tc>
          <w:tcPr>
            <w:tcW w:w="1870" w:type="dxa"/>
            <w:tcBorders>
              <w:top w:val="single" w:color="auto" w:sz="4" w:space="0"/>
              <w:left w:val="single" w:color="000000" w:sz="4" w:space="0"/>
              <w:right w:val="single" w:color="000000" w:sz="4" w:space="0"/>
            </w:tcBorders>
            <w:vAlign w:val="center"/>
          </w:tcPr>
          <w:p w14:paraId="050D57DD">
            <w:pPr>
              <w:pStyle w:val="16"/>
              <w:snapToGrid w:val="0"/>
              <w:spacing w:line="400" w:lineRule="exact"/>
              <w:rPr>
                <w:rFonts w:hint="eastAsia" w:ascii="Times New Roman" w:hAnsi="Times New Roman" w:eastAsia="宋体"/>
                <w:b w:val="0"/>
                <w:color w:val="auto"/>
                <w:sz w:val="21"/>
                <w:szCs w:val="21"/>
                <w:highlight w:val="none"/>
              </w:rPr>
            </w:pPr>
            <w:r>
              <w:rPr>
                <w:rFonts w:hint="eastAsia" w:ascii="Times New Roman" w:hAnsi="Times New Roman" w:eastAsia="宋体"/>
                <w:b w:val="0"/>
                <w:color w:val="auto"/>
                <w:sz w:val="21"/>
                <w:szCs w:val="21"/>
                <w:highlight w:val="none"/>
              </w:rPr>
              <w:t>应急处理方案</w:t>
            </w:r>
          </w:p>
          <w:p w14:paraId="27494E1C">
            <w:pPr>
              <w:pStyle w:val="16"/>
              <w:snapToGrid w:val="0"/>
              <w:spacing w:line="400" w:lineRule="exact"/>
              <w:rPr>
                <w:rFonts w:ascii="Times New Roman" w:hAnsi="Times New Roman" w:eastAsia="宋体"/>
                <w:b w:val="0"/>
                <w:color w:val="auto"/>
                <w:sz w:val="21"/>
                <w:szCs w:val="21"/>
                <w:highlight w:val="none"/>
              </w:rPr>
            </w:pPr>
            <w:r>
              <w:rPr>
                <w:rFonts w:hint="eastAsia" w:ascii="Times New Roman" w:hAnsi="Times New Roman" w:eastAsia="宋体"/>
                <w:b w:val="0"/>
                <w:color w:val="auto"/>
                <w:sz w:val="21"/>
                <w:szCs w:val="21"/>
                <w:highlight w:val="none"/>
              </w:rPr>
              <w:t>（</w:t>
            </w:r>
            <w:r>
              <w:rPr>
                <w:rFonts w:hint="eastAsia" w:ascii="宋体" w:eastAsia="宋体"/>
                <w:b w:val="0"/>
                <w:color w:val="auto"/>
                <w:sz w:val="21"/>
                <w:szCs w:val="21"/>
                <w:highlight w:val="none"/>
              </w:rPr>
              <w:t>1</w:t>
            </w:r>
            <w:r>
              <w:rPr>
                <w:rFonts w:hint="eastAsia" w:ascii="宋体" w:eastAsia="宋体"/>
                <w:b w:val="0"/>
                <w:color w:val="auto"/>
                <w:sz w:val="21"/>
                <w:szCs w:val="21"/>
                <w:highlight w:val="none"/>
                <w:lang w:val="en-US" w:eastAsia="zh-CN"/>
              </w:rPr>
              <w:t>0</w:t>
            </w:r>
            <w:r>
              <w:rPr>
                <w:rFonts w:hint="eastAsia" w:ascii="Times New Roman" w:hAnsi="Times New Roman" w:eastAsia="宋体"/>
                <w:b w:val="0"/>
                <w:color w:val="auto"/>
                <w:sz w:val="21"/>
                <w:szCs w:val="21"/>
                <w:highlight w:val="none"/>
              </w:rPr>
              <w:t>分）</w:t>
            </w:r>
          </w:p>
        </w:tc>
        <w:tc>
          <w:tcPr>
            <w:tcW w:w="5086" w:type="dxa"/>
            <w:tcBorders>
              <w:top w:val="single" w:color="auto" w:sz="4" w:space="0"/>
              <w:left w:val="single" w:color="000000" w:sz="4" w:space="0"/>
              <w:right w:val="single" w:color="000000" w:sz="4" w:space="0"/>
            </w:tcBorders>
            <w:vAlign w:val="center"/>
          </w:tcPr>
          <w:p w14:paraId="3F093493">
            <w:pPr>
              <w:pStyle w:val="16"/>
              <w:snapToGrid w:val="0"/>
              <w:spacing w:line="400" w:lineRule="exact"/>
              <w:jc w:val="left"/>
              <w:rPr>
                <w:rFonts w:ascii="Times New Roman" w:hAnsi="Times New Roman" w:eastAsia="宋体"/>
                <w:b w:val="0"/>
                <w:color w:val="auto"/>
                <w:sz w:val="21"/>
                <w:szCs w:val="21"/>
                <w:highlight w:val="none"/>
              </w:rPr>
            </w:pPr>
            <w:r>
              <w:rPr>
                <w:rFonts w:hint="eastAsia" w:ascii="Times New Roman" w:hAnsi="Times New Roman" w:eastAsia="宋体"/>
                <w:b w:val="0"/>
                <w:color w:val="auto"/>
                <w:sz w:val="21"/>
                <w:szCs w:val="21"/>
                <w:highlight w:val="none"/>
              </w:rPr>
              <w:t>对各种突发情况应急处理方案科学合理、应对措施完善得</w:t>
            </w:r>
            <w:r>
              <w:rPr>
                <w:rFonts w:hint="eastAsia" w:ascii="宋体" w:eastAsia="宋体"/>
                <w:b w:val="0"/>
                <w:color w:val="auto"/>
                <w:sz w:val="21"/>
                <w:szCs w:val="21"/>
                <w:highlight w:val="none"/>
                <w:lang w:val="en-US" w:eastAsia="zh-CN"/>
              </w:rPr>
              <w:t>8</w:t>
            </w:r>
            <w:r>
              <w:rPr>
                <w:rFonts w:hint="eastAsia" w:ascii="宋体" w:eastAsia="宋体"/>
                <w:b w:val="0"/>
                <w:color w:val="auto"/>
                <w:sz w:val="21"/>
                <w:szCs w:val="21"/>
                <w:highlight w:val="none"/>
              </w:rPr>
              <w:t>.1-1</w:t>
            </w:r>
            <w:r>
              <w:rPr>
                <w:rFonts w:hint="eastAsia" w:ascii="宋体" w:eastAsia="宋体"/>
                <w:b w:val="0"/>
                <w:color w:val="auto"/>
                <w:sz w:val="21"/>
                <w:szCs w:val="21"/>
                <w:highlight w:val="none"/>
                <w:lang w:val="en-US" w:eastAsia="zh-CN"/>
              </w:rPr>
              <w:t>0</w:t>
            </w:r>
            <w:r>
              <w:rPr>
                <w:rFonts w:hint="eastAsia" w:ascii="宋体" w:eastAsia="宋体"/>
                <w:b w:val="0"/>
                <w:color w:val="auto"/>
                <w:sz w:val="21"/>
                <w:szCs w:val="21"/>
                <w:highlight w:val="none"/>
              </w:rPr>
              <w:t>.0</w:t>
            </w:r>
            <w:r>
              <w:rPr>
                <w:rFonts w:hint="eastAsia" w:ascii="Times New Roman" w:hAnsi="Times New Roman" w:eastAsia="宋体"/>
                <w:b w:val="0"/>
                <w:color w:val="auto"/>
                <w:sz w:val="21"/>
                <w:szCs w:val="21"/>
                <w:highlight w:val="none"/>
              </w:rPr>
              <w:t>分；</w:t>
            </w:r>
          </w:p>
          <w:p w14:paraId="23F0B5CB">
            <w:pPr>
              <w:pStyle w:val="16"/>
              <w:snapToGrid w:val="0"/>
              <w:spacing w:line="400" w:lineRule="exact"/>
              <w:jc w:val="left"/>
              <w:rPr>
                <w:rFonts w:ascii="Times New Roman" w:hAnsi="Times New Roman" w:eastAsia="宋体"/>
                <w:b w:val="0"/>
                <w:color w:val="auto"/>
                <w:sz w:val="21"/>
                <w:szCs w:val="21"/>
                <w:highlight w:val="none"/>
              </w:rPr>
            </w:pPr>
            <w:r>
              <w:rPr>
                <w:rFonts w:hint="eastAsia" w:ascii="Times New Roman" w:hAnsi="Times New Roman" w:eastAsia="宋体"/>
                <w:b w:val="0"/>
                <w:color w:val="auto"/>
                <w:sz w:val="21"/>
                <w:szCs w:val="21"/>
                <w:highlight w:val="none"/>
              </w:rPr>
              <w:t>对各种突发情况应急处理方案较科学合理、应对措施较完善得</w:t>
            </w:r>
            <w:r>
              <w:rPr>
                <w:rFonts w:hint="eastAsia" w:ascii="宋体" w:eastAsia="宋体"/>
                <w:b w:val="0"/>
                <w:color w:val="auto"/>
                <w:sz w:val="21"/>
                <w:szCs w:val="21"/>
                <w:highlight w:val="none"/>
                <w:lang w:val="en-US" w:eastAsia="zh-CN"/>
              </w:rPr>
              <w:t>6</w:t>
            </w:r>
            <w:r>
              <w:rPr>
                <w:rFonts w:hint="eastAsia" w:ascii="宋体" w:eastAsia="宋体"/>
                <w:b w:val="0"/>
                <w:color w:val="auto"/>
                <w:sz w:val="21"/>
                <w:szCs w:val="21"/>
                <w:highlight w:val="none"/>
              </w:rPr>
              <w:t>.1-</w:t>
            </w:r>
            <w:r>
              <w:rPr>
                <w:rFonts w:hint="eastAsia" w:ascii="宋体" w:eastAsia="宋体"/>
                <w:b w:val="0"/>
                <w:color w:val="auto"/>
                <w:sz w:val="21"/>
                <w:szCs w:val="21"/>
                <w:highlight w:val="none"/>
                <w:lang w:val="en-US" w:eastAsia="zh-CN"/>
              </w:rPr>
              <w:t>8</w:t>
            </w:r>
            <w:r>
              <w:rPr>
                <w:rFonts w:hint="eastAsia" w:ascii="宋体" w:eastAsia="宋体"/>
                <w:b w:val="0"/>
                <w:color w:val="auto"/>
                <w:sz w:val="21"/>
                <w:szCs w:val="21"/>
                <w:highlight w:val="none"/>
              </w:rPr>
              <w:t>.0</w:t>
            </w:r>
            <w:r>
              <w:rPr>
                <w:rFonts w:hint="eastAsia" w:ascii="Times New Roman" w:hAnsi="Times New Roman" w:eastAsia="宋体"/>
                <w:b w:val="0"/>
                <w:color w:val="auto"/>
                <w:sz w:val="21"/>
                <w:szCs w:val="21"/>
                <w:highlight w:val="none"/>
              </w:rPr>
              <w:t>分；</w:t>
            </w:r>
          </w:p>
          <w:p w14:paraId="4C4F27EA">
            <w:pPr>
              <w:pStyle w:val="16"/>
              <w:snapToGrid w:val="0"/>
              <w:spacing w:line="400" w:lineRule="exact"/>
              <w:jc w:val="left"/>
              <w:rPr>
                <w:rFonts w:ascii="Times New Roman" w:hAnsi="Times New Roman" w:eastAsia="宋体"/>
                <w:b w:val="0"/>
                <w:color w:val="auto"/>
                <w:sz w:val="21"/>
                <w:szCs w:val="21"/>
                <w:highlight w:val="none"/>
              </w:rPr>
            </w:pPr>
            <w:r>
              <w:rPr>
                <w:rFonts w:hint="eastAsia" w:ascii="Times New Roman" w:hAnsi="Times New Roman" w:eastAsia="宋体"/>
                <w:b w:val="0"/>
                <w:color w:val="auto"/>
                <w:sz w:val="21"/>
                <w:szCs w:val="21"/>
                <w:highlight w:val="none"/>
              </w:rPr>
              <w:t>对各种突发情况应急处理方案一般、应对措施一般得</w:t>
            </w:r>
            <w:r>
              <w:rPr>
                <w:rFonts w:hint="eastAsia" w:ascii="宋体" w:eastAsia="宋体"/>
                <w:b w:val="0"/>
                <w:color w:val="auto"/>
                <w:sz w:val="21"/>
                <w:szCs w:val="21"/>
                <w:highlight w:val="none"/>
                <w:lang w:val="en-US" w:eastAsia="zh-CN"/>
              </w:rPr>
              <w:t>6</w:t>
            </w:r>
            <w:r>
              <w:rPr>
                <w:rFonts w:hint="eastAsia" w:ascii="宋体" w:eastAsia="宋体"/>
                <w:b w:val="0"/>
                <w:color w:val="auto"/>
                <w:sz w:val="21"/>
                <w:szCs w:val="21"/>
                <w:highlight w:val="none"/>
              </w:rPr>
              <w:t>.0</w:t>
            </w:r>
            <w:r>
              <w:rPr>
                <w:rFonts w:hint="eastAsia" w:ascii="Times New Roman" w:hAnsi="Times New Roman" w:eastAsia="宋体"/>
                <w:b w:val="0"/>
                <w:color w:val="auto"/>
                <w:sz w:val="21"/>
                <w:szCs w:val="21"/>
                <w:highlight w:val="none"/>
              </w:rPr>
              <w:t>分。</w:t>
            </w:r>
          </w:p>
        </w:tc>
      </w:tr>
      <w:tr w14:paraId="6678C2FB">
        <w:tblPrEx>
          <w:tblCellMar>
            <w:top w:w="0" w:type="dxa"/>
            <w:left w:w="0" w:type="dxa"/>
            <w:bottom w:w="0" w:type="dxa"/>
            <w:right w:w="0" w:type="dxa"/>
          </w:tblCellMar>
        </w:tblPrEx>
        <w:trPr>
          <w:trHeight w:val="534" w:hRule="atLeast"/>
          <w:jc w:val="center"/>
        </w:trPr>
        <w:tc>
          <w:tcPr>
            <w:tcW w:w="815" w:type="dxa"/>
            <w:tcBorders>
              <w:top w:val="single" w:color="auto" w:sz="4" w:space="0"/>
              <w:left w:val="single" w:color="auto" w:sz="4" w:space="0"/>
              <w:bottom w:val="single" w:color="auto" w:sz="4" w:space="0"/>
              <w:right w:val="single" w:color="auto" w:sz="4" w:space="0"/>
            </w:tcBorders>
            <w:vAlign w:val="center"/>
          </w:tcPr>
          <w:p w14:paraId="162E7FBE">
            <w:pPr>
              <w:autoSpaceDE w:val="0"/>
              <w:autoSpaceDN w:val="0"/>
              <w:adjustRightInd w:val="0"/>
              <w:snapToGrid w:val="0"/>
              <w:spacing w:line="340" w:lineRule="exact"/>
              <w:ind w:right="-23"/>
              <w:jc w:val="center"/>
              <w:rPr>
                <w:rFonts w:ascii="宋体" w:cs="宋体"/>
                <w:color w:val="auto"/>
                <w:kern w:val="0"/>
                <w:highlight w:val="none"/>
              </w:rPr>
            </w:pPr>
            <w:r>
              <w:rPr>
                <w:rFonts w:ascii="宋体" w:hAnsi="宋体" w:cs="宋体"/>
                <w:color w:val="auto"/>
                <w:kern w:val="0"/>
                <w:highlight w:val="none"/>
              </w:rPr>
              <w:t>2.2.4</w:t>
            </w:r>
          </w:p>
          <w:p w14:paraId="1615330C">
            <w:pPr>
              <w:autoSpaceDE w:val="0"/>
              <w:autoSpaceDN w:val="0"/>
              <w:adjustRightInd w:val="0"/>
              <w:snapToGrid w:val="0"/>
              <w:spacing w:line="340" w:lineRule="exact"/>
              <w:ind w:right="-23"/>
              <w:jc w:val="center"/>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w:t>
            </w:r>
          </w:p>
        </w:tc>
        <w:tc>
          <w:tcPr>
            <w:tcW w:w="1438" w:type="dxa"/>
            <w:tcBorders>
              <w:top w:val="single" w:color="auto" w:sz="4" w:space="0"/>
              <w:left w:val="single" w:color="auto" w:sz="4" w:space="0"/>
              <w:bottom w:val="single" w:color="auto" w:sz="4" w:space="0"/>
              <w:right w:val="single" w:color="auto" w:sz="4" w:space="0"/>
            </w:tcBorders>
            <w:vAlign w:val="center"/>
          </w:tcPr>
          <w:p w14:paraId="51F4DAF3">
            <w:pPr>
              <w:autoSpaceDE w:val="0"/>
              <w:autoSpaceDN w:val="0"/>
              <w:adjustRightInd w:val="0"/>
              <w:snapToGrid w:val="0"/>
              <w:spacing w:line="340" w:lineRule="exact"/>
              <w:ind w:right="60"/>
              <w:jc w:val="center"/>
              <w:rPr>
                <w:rFonts w:ascii="宋体" w:cs="宋体"/>
                <w:color w:val="auto"/>
                <w:kern w:val="0"/>
                <w:highlight w:val="none"/>
              </w:rPr>
            </w:pPr>
            <w:r>
              <w:rPr>
                <w:rFonts w:hint="eastAsia" w:ascii="宋体" w:hAnsi="宋体" w:cs="宋体"/>
                <w:color w:val="auto"/>
                <w:kern w:val="0"/>
                <w:highlight w:val="none"/>
              </w:rPr>
              <w:t>投标</w:t>
            </w:r>
            <w:r>
              <w:rPr>
                <w:rFonts w:hint="eastAsia" w:ascii="宋体" w:hAnsi="宋体" w:cs="宋体"/>
                <w:color w:val="auto"/>
                <w:spacing w:val="-2"/>
                <w:kern w:val="0"/>
                <w:highlight w:val="none"/>
              </w:rPr>
              <w:t>报</w:t>
            </w:r>
            <w:r>
              <w:rPr>
                <w:rFonts w:hint="eastAsia" w:ascii="宋体" w:hAnsi="宋体" w:cs="宋体"/>
                <w:color w:val="auto"/>
                <w:kern w:val="0"/>
                <w:highlight w:val="none"/>
              </w:rPr>
              <w:t>价评分</w:t>
            </w:r>
            <w:r>
              <w:rPr>
                <w:rFonts w:hint="eastAsia" w:ascii="宋体" w:hAnsi="宋体" w:cs="宋体"/>
                <w:color w:val="auto"/>
                <w:spacing w:val="-2"/>
                <w:kern w:val="0"/>
                <w:highlight w:val="none"/>
              </w:rPr>
              <w:t>标</w:t>
            </w:r>
            <w:r>
              <w:rPr>
                <w:rFonts w:hint="eastAsia" w:ascii="宋体" w:hAnsi="宋体" w:cs="宋体"/>
                <w:color w:val="auto"/>
                <w:kern w:val="0"/>
                <w:highlight w:val="none"/>
              </w:rPr>
              <w:t>准（</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0分）</w:t>
            </w:r>
          </w:p>
        </w:tc>
        <w:tc>
          <w:tcPr>
            <w:tcW w:w="6956" w:type="dxa"/>
            <w:gridSpan w:val="2"/>
            <w:tcBorders>
              <w:top w:val="single" w:color="000000" w:sz="4" w:space="0"/>
              <w:left w:val="single" w:color="auto" w:sz="4" w:space="0"/>
              <w:bottom w:val="single" w:color="auto" w:sz="4" w:space="0"/>
              <w:right w:val="single" w:color="000000" w:sz="4" w:space="0"/>
            </w:tcBorders>
            <w:vAlign w:val="center"/>
          </w:tcPr>
          <w:p w14:paraId="12581C31">
            <w:pPr>
              <w:rPr>
                <w:rFonts w:ascii="宋体"/>
                <w:color w:val="auto"/>
                <w:highlight w:val="none"/>
              </w:rPr>
            </w:pPr>
            <w:r>
              <w:rPr>
                <w:rFonts w:hint="eastAsia" w:ascii="宋体" w:hAnsi="宋体"/>
                <w:color w:val="auto"/>
                <w:highlight w:val="none"/>
              </w:rPr>
              <w:t>投标价得分计算公式示例：</w:t>
            </w:r>
          </w:p>
          <w:p w14:paraId="524AD145">
            <w:pPr>
              <w:rPr>
                <w:rFonts w:asci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）如果投标人的投标价＞评标基准价，则投标价得分</w:t>
            </w:r>
            <w:r>
              <w:rPr>
                <w:rFonts w:ascii="宋体" w:hAnsi="宋体"/>
                <w:color w:val="auto"/>
                <w:highlight w:val="none"/>
              </w:rPr>
              <w:t>=F-</w:t>
            </w:r>
            <w:r>
              <w:rPr>
                <w:rFonts w:hint="eastAsia" w:ascii="宋体" w:hAnsi="宋体"/>
                <w:color w:val="auto"/>
                <w:highlight w:val="none"/>
              </w:rPr>
              <w:t>（投标人投标价</w:t>
            </w:r>
            <w:r>
              <w:rPr>
                <w:rFonts w:ascii="宋体"/>
                <w:color w:val="auto"/>
                <w:highlight w:val="none"/>
              </w:rPr>
              <w:t>-</w:t>
            </w:r>
            <w:r>
              <w:rPr>
                <w:rFonts w:hint="eastAsia" w:ascii="宋体" w:hAnsi="宋体"/>
                <w:color w:val="auto"/>
                <w:highlight w:val="none"/>
              </w:rPr>
              <w:t>评标基准价）</w:t>
            </w:r>
            <w:r>
              <w:rPr>
                <w:rFonts w:ascii="宋体" w:hAnsi="宋体"/>
                <w:color w:val="auto"/>
                <w:highlight w:val="none"/>
              </w:rPr>
              <w:t>/</w:t>
            </w:r>
            <w:r>
              <w:rPr>
                <w:rFonts w:hint="eastAsia" w:ascii="宋体" w:hAnsi="宋体"/>
                <w:color w:val="auto"/>
                <w:highlight w:val="none"/>
              </w:rPr>
              <w:t>评标基准价×</w:t>
            </w:r>
            <w:r>
              <w:rPr>
                <w:rFonts w:ascii="宋体" w:hAnsi="宋体"/>
                <w:color w:val="auto"/>
                <w:highlight w:val="none"/>
              </w:rPr>
              <w:t>100</w:t>
            </w:r>
            <w:r>
              <w:rPr>
                <w:rFonts w:hint="eastAsia" w:ascii="宋体" w:hAnsi="宋体"/>
                <w:color w:val="auto"/>
                <w:highlight w:val="none"/>
              </w:rPr>
              <w:t>×</w:t>
            </w:r>
            <w:r>
              <w:rPr>
                <w:rFonts w:ascii="宋体" w:hAnsi="宋体"/>
                <w:color w:val="auto"/>
                <w:highlight w:val="none"/>
              </w:rPr>
              <w:t>E1</w:t>
            </w:r>
          </w:p>
          <w:p w14:paraId="5B8DF2EE">
            <w:pPr>
              <w:rPr>
                <w:rFonts w:asci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）如果投标人的投标价≤评标基准价，则投标价得分</w:t>
            </w:r>
            <w:r>
              <w:rPr>
                <w:rFonts w:ascii="宋体" w:hAnsi="宋体"/>
                <w:color w:val="auto"/>
                <w:highlight w:val="none"/>
              </w:rPr>
              <w:t>=F+(</w:t>
            </w:r>
            <w:r>
              <w:rPr>
                <w:rFonts w:hint="eastAsia" w:ascii="宋体" w:hAnsi="宋体"/>
                <w:color w:val="auto"/>
                <w:highlight w:val="none"/>
              </w:rPr>
              <w:t>投标人投标价</w:t>
            </w:r>
            <w:r>
              <w:rPr>
                <w:rFonts w:ascii="宋体"/>
                <w:color w:val="auto"/>
                <w:highlight w:val="none"/>
              </w:rPr>
              <w:t>-</w:t>
            </w:r>
            <w:r>
              <w:rPr>
                <w:rFonts w:hint="eastAsia" w:ascii="宋体" w:hAnsi="宋体"/>
                <w:color w:val="auto"/>
                <w:highlight w:val="none"/>
              </w:rPr>
              <w:t>评标基准价</w:t>
            </w:r>
            <w:r>
              <w:rPr>
                <w:rFonts w:ascii="宋体" w:hAnsi="宋体"/>
                <w:color w:val="auto"/>
                <w:highlight w:val="none"/>
              </w:rPr>
              <w:t>)/</w:t>
            </w:r>
            <w:r>
              <w:rPr>
                <w:rFonts w:hint="eastAsia" w:ascii="宋体" w:hAnsi="宋体"/>
                <w:color w:val="auto"/>
                <w:highlight w:val="none"/>
              </w:rPr>
              <w:t>评标基准价×</w:t>
            </w:r>
            <w:r>
              <w:rPr>
                <w:rFonts w:ascii="宋体" w:hAnsi="宋体"/>
                <w:color w:val="auto"/>
                <w:highlight w:val="none"/>
              </w:rPr>
              <w:t>100</w:t>
            </w:r>
            <w:r>
              <w:rPr>
                <w:rFonts w:hint="eastAsia" w:ascii="宋体" w:hAnsi="宋体"/>
                <w:color w:val="auto"/>
                <w:highlight w:val="none"/>
              </w:rPr>
              <w:t>×</w:t>
            </w:r>
            <w:r>
              <w:rPr>
                <w:rFonts w:ascii="宋体" w:hAnsi="宋体"/>
                <w:color w:val="auto"/>
                <w:highlight w:val="none"/>
              </w:rPr>
              <w:t>E2</w:t>
            </w:r>
          </w:p>
          <w:p w14:paraId="3B4B282F">
            <w:pPr>
              <w:autoSpaceDE w:val="0"/>
              <w:autoSpaceDN w:val="0"/>
              <w:adjustRightInd w:val="0"/>
              <w:snapToGrid w:val="0"/>
              <w:spacing w:line="340" w:lineRule="exact"/>
              <w:jc w:val="left"/>
              <w:rPr>
                <w:rFonts w:ascii="宋体" w:cs="宋体"/>
                <w:color w:val="auto"/>
                <w:kern w:val="0"/>
                <w:highlight w:val="none"/>
              </w:rPr>
            </w:pPr>
            <w:r>
              <w:rPr>
                <w:rFonts w:hint="eastAsia" w:ascii="宋体" w:hAnsi="宋体"/>
                <w:color w:val="auto"/>
                <w:highlight w:val="none"/>
              </w:rPr>
              <w:t>其中，</w:t>
            </w:r>
            <w:r>
              <w:rPr>
                <w:rFonts w:ascii="宋体" w:hAnsi="宋体"/>
                <w:color w:val="auto"/>
                <w:highlight w:val="none"/>
              </w:rPr>
              <w:t>F=</w:t>
            </w:r>
            <w:r>
              <w:rPr>
                <w:rFonts w:hint="eastAsia" w:ascii="宋体" w:hAnsi="宋体"/>
                <w:color w:val="auto"/>
                <w:highlight w:val="none"/>
                <w:lang w:val="en-US" w:eastAsia="zh-CN"/>
              </w:rPr>
              <w:t>3</w:t>
            </w:r>
            <w:r>
              <w:rPr>
                <w:rFonts w:ascii="宋体" w:hAnsi="宋体"/>
                <w:color w:val="auto"/>
                <w:highlight w:val="none"/>
              </w:rPr>
              <w:t>0</w:t>
            </w:r>
            <w:r>
              <w:rPr>
                <w:rFonts w:hint="eastAsia" w:ascii="宋体" w:hAnsi="宋体"/>
                <w:color w:val="auto"/>
                <w:highlight w:val="none"/>
              </w:rPr>
              <w:t>；</w:t>
            </w:r>
            <w:r>
              <w:rPr>
                <w:rFonts w:ascii="宋体" w:hAnsi="宋体"/>
                <w:color w:val="auto"/>
                <w:highlight w:val="none"/>
              </w:rPr>
              <w:t>E1=</w:t>
            </w:r>
            <w:r>
              <w:rPr>
                <w:rFonts w:hint="eastAsia" w:ascii="宋体" w:hAnsi="宋体"/>
                <w:color w:val="auto"/>
                <w:highlight w:val="none"/>
              </w:rPr>
              <w:t>0.</w:t>
            </w: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E2=</w:t>
            </w:r>
            <w:r>
              <w:rPr>
                <w:rFonts w:hint="eastAsia" w:ascii="宋体" w:hAnsi="宋体"/>
                <w:color w:val="auto"/>
                <w:highlight w:val="none"/>
              </w:rPr>
              <w:t>0.</w:t>
            </w:r>
            <w:r>
              <w:rPr>
                <w:rFonts w:ascii="宋体" w:hAnsi="宋体"/>
                <w:color w:val="auto"/>
                <w:highlight w:val="none"/>
              </w:rPr>
              <w:t>1</w:t>
            </w:r>
            <w:r>
              <w:rPr>
                <w:rFonts w:hint="eastAsia" w:ascii="宋体" w:hAnsi="宋体"/>
                <w:color w:val="auto"/>
                <w:highlight w:val="none"/>
              </w:rPr>
              <w:t>；投标价最低得分为</w:t>
            </w:r>
            <w:r>
              <w:rPr>
                <w:rFonts w:ascii="宋体"/>
                <w:color w:val="auto"/>
                <w:highlight w:val="none"/>
              </w:rPr>
              <w:t>0</w:t>
            </w:r>
            <w:r>
              <w:rPr>
                <w:rFonts w:hint="eastAsia" w:ascii="宋体" w:hAnsi="宋体"/>
                <w:color w:val="auto"/>
                <w:highlight w:val="none"/>
              </w:rPr>
              <w:t>分</w:t>
            </w:r>
          </w:p>
        </w:tc>
      </w:tr>
    </w:tbl>
    <w:p w14:paraId="3A61FD09">
      <w:pPr>
        <w:numPr>
          <w:ilvl w:val="0"/>
          <w:numId w:val="0"/>
        </w:numPr>
        <w:autoSpaceDE w:val="0"/>
        <w:autoSpaceDN w:val="0"/>
        <w:adjustRightInd w:val="0"/>
        <w:snapToGrid w:val="0"/>
        <w:spacing w:line="360" w:lineRule="auto"/>
        <w:ind w:firstLine="420" w:firstLineChars="200"/>
        <w:jc w:val="left"/>
        <w:outlineLvl w:val="9"/>
        <w:rPr>
          <w:rFonts w:hint="eastAsia" w:hAnsi="宋体"/>
          <w:color w:val="auto"/>
          <w:highlight w:val="none"/>
        </w:rPr>
      </w:pPr>
      <w:r>
        <w:rPr>
          <w:rFonts w:hint="eastAsia" w:hAnsi="宋体"/>
          <w:color w:val="auto"/>
          <w:highlight w:val="none"/>
        </w:rPr>
        <w:t>注：1、第2.2.4（</w:t>
      </w:r>
      <w:r>
        <w:rPr>
          <w:rFonts w:hint="eastAsia" w:hAnsi="宋体"/>
          <w:color w:val="auto"/>
          <w:highlight w:val="none"/>
          <w:lang w:val="en-US" w:eastAsia="zh-CN"/>
        </w:rPr>
        <w:t>2</w:t>
      </w:r>
      <w:r>
        <w:rPr>
          <w:rFonts w:hint="eastAsia" w:hAnsi="宋体"/>
          <w:color w:val="auto"/>
          <w:highlight w:val="none"/>
        </w:rPr>
        <w:t>）项各评委打分保留1位小数，投标人该项得分以各评委打分平均值计算所得，保留两位小数，第三位小数四舍五入。</w:t>
      </w:r>
    </w:p>
    <w:p w14:paraId="70D8202D">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hAnsi="宋体"/>
          <w:color w:val="auto"/>
          <w:highlight w:val="none"/>
        </w:rPr>
        <w:t>2、第2.2.4（</w:t>
      </w:r>
      <w:r>
        <w:rPr>
          <w:rFonts w:hint="eastAsia" w:hAnsi="宋体"/>
          <w:color w:val="auto"/>
          <w:highlight w:val="none"/>
          <w:lang w:val="en-US" w:eastAsia="zh-CN"/>
        </w:rPr>
        <w:t>2</w:t>
      </w:r>
      <w:r>
        <w:rPr>
          <w:rFonts w:hint="eastAsia" w:hAnsi="宋体"/>
          <w:color w:val="auto"/>
          <w:highlight w:val="none"/>
        </w:rPr>
        <w:t>）项各评分因素细分项缺项则该项得0分。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95B09"/>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7B95B09"/>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2"/>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1"/>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3"/>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4"/>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0">
    <w:name w:val="Default Paragraph Font"/>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character" w:customStyle="1" w:styleId="11">
    <w:name w:val="标题 2 Char"/>
    <w:basedOn w:val="10"/>
    <w:link w:val="3"/>
    <w:qFormat/>
    <w:uiPriority w:val="9"/>
    <w:rPr>
      <w:rFonts w:ascii="宋体" w:hAnsi="宋体" w:eastAsia="宋体" w:cs="宋体"/>
      <w:b/>
      <w:bCs/>
      <w:sz w:val="24"/>
      <w:szCs w:val="24"/>
      <w:lang w:eastAsia="en-US"/>
    </w:rPr>
  </w:style>
  <w:style w:type="character" w:customStyle="1" w:styleId="12">
    <w:name w:val="标题 1 Char"/>
    <w:basedOn w:val="10"/>
    <w:link w:val="2"/>
    <w:qFormat/>
    <w:uiPriority w:val="9"/>
    <w:rPr>
      <w:rFonts w:ascii="宋体" w:hAnsi="宋体" w:eastAsia="宋体" w:cs="宋体"/>
      <w:b/>
      <w:bCs/>
      <w:kern w:val="36"/>
      <w:sz w:val="40"/>
      <w:szCs w:val="32"/>
      <w:lang w:eastAsia="en-US"/>
    </w:rPr>
  </w:style>
  <w:style w:type="character" w:customStyle="1" w:styleId="13">
    <w:name w:val="标题 3 Char"/>
    <w:basedOn w:val="10"/>
    <w:link w:val="4"/>
    <w:qFormat/>
    <w:uiPriority w:val="9"/>
    <w:rPr>
      <w:rFonts w:ascii="宋体" w:hAnsi="宋体" w:eastAsia="宋体" w:cs="宋体"/>
      <w:b/>
      <w:bCs/>
      <w:kern w:val="0"/>
      <w:sz w:val="24"/>
      <w:szCs w:val="24"/>
      <w:lang w:eastAsia="en-US"/>
    </w:rPr>
  </w:style>
  <w:style w:type="character" w:customStyle="1" w:styleId="14">
    <w:name w:val="标题 4 字符"/>
    <w:link w:val="5"/>
    <w:qFormat/>
    <w:uiPriority w:val="0"/>
    <w:rPr>
      <w:rFonts w:ascii="宋体" w:hAnsi="宋体" w:eastAsia="宋体" w:cs="Times New Roman"/>
      <w:b/>
      <w:sz w:val="28"/>
      <w:szCs w:val="28"/>
      <w:lang w:eastAsia="en-US"/>
    </w:rPr>
  </w:style>
  <w:style w:type="paragraph" w:customStyle="1" w:styleId="15">
    <w:name w:val="目录1"/>
    <w:basedOn w:val="1"/>
    <w:qFormat/>
    <w:uiPriority w:val="99"/>
    <w:rPr>
      <w:rFonts w:ascii="黑体" w:eastAsia="黑体"/>
      <w:sz w:val="52"/>
      <w:szCs w:val="52"/>
    </w:rPr>
  </w:style>
  <w:style w:type="paragraph" w:customStyle="1" w:styleId="16">
    <w:name w:val="样式1"/>
    <w:basedOn w:val="1"/>
    <w:qFormat/>
    <w:uiPriority w:val="0"/>
    <w:pPr>
      <w:tabs>
        <w:tab w:val="left" w:pos="3150"/>
      </w:tabs>
      <w:jc w:val="center"/>
    </w:pPr>
    <w:rPr>
      <w:rFonts w:ascii="隶书" w:hAnsi="宋体" w:eastAsia="隶书"/>
      <w:b/>
      <w:sz w:val="3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2026-07-02T06:53:00Z</dcterms:created>
  <dc:creator>张宁</dc:creator>
  <cp:lastModifiedBy>张宁</cp:lastModifiedBy>
  <dcterms:modified xsi:type="dcterms:W3CDTF">2026-07-02T06:54:01Z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0D3B19A3D58C4D9D8DEC3DB79D39B9FA_11</vt:lpwstr>
  </property>
  <property fmtid="{D5CDD505-2E9C-101B-9397-08002B2CF9AE}" pid="4" name="KSOTemplateDocerSaveRecord">
    <vt:lpwstr>eyJoZGlkIjoiNGFjNGU5MGM1NzNmMGRmMGE0N2VjNjk3NDcyNTAwODYiLCJ1c2VySWQiOiIxNjgyOTM3NTgwIn0=</vt:lpwstr>
  </property>
</Properties>
</file>